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2D2852">
      <w:pPr>
        <w:spacing w:after="40"/>
        <w:ind w:left="1600" w:hanging="1600" w:hangingChars="400"/>
        <w:jc w:val="left"/>
      </w:pPr>
      <w:r>
        <w:rPr>
          <w:rFonts w:hint="eastAsia" w:ascii="方正小标宋简体" w:hAnsi="方正小标宋简体" w:eastAsia="方正小标宋简体"/>
          <w:b w:val="0"/>
          <w:sz w:val="40"/>
          <w:lang w:eastAsia="zh-CN"/>
        </w:rPr>
        <w:t>海口市人民医院</w:t>
      </w:r>
      <w:r>
        <w:rPr>
          <w:rFonts w:ascii="方正小标宋简体" w:hAnsi="方正小标宋简体" w:eastAsia="方正小标宋简体"/>
          <w:b w:val="0"/>
          <w:sz w:val="40"/>
        </w:rPr>
        <w:t>低空物流项目询价采购需求</w:t>
      </w:r>
    </w:p>
    <w:p w14:paraId="4560B45B">
      <w:pPr>
        <w:spacing w:before="280" w:after="120" w:line="360" w:lineRule="auto"/>
        <w:jc w:val="left"/>
      </w:pPr>
      <w:r>
        <w:rPr>
          <w:rFonts w:ascii="黑体" w:hAnsi="黑体" w:eastAsia="黑体"/>
          <w:b w:val="0"/>
          <w:sz w:val="30"/>
        </w:rPr>
        <w:t>一、项目概况</w:t>
      </w:r>
    </w:p>
    <w:p w14:paraId="119EAECE">
      <w:pPr>
        <w:spacing w:before="0" w:after="0" w:line="360" w:lineRule="auto"/>
        <w:ind w:firstLine="480"/>
        <w:jc w:val="left"/>
      </w:pPr>
      <w:r>
        <w:rPr>
          <w:rFonts w:ascii="宋体" w:hAnsi="宋体" w:eastAsia="宋体"/>
          <w:b w:val="0"/>
          <w:sz w:val="24"/>
        </w:rPr>
        <w:t>1. 项目名称：</w:t>
      </w:r>
      <w:r>
        <w:rPr>
          <w:rFonts w:hint="eastAsia"/>
          <w:b w:val="0"/>
          <w:sz w:val="24"/>
          <w:lang w:eastAsia="zh-CN"/>
        </w:rPr>
        <w:t>海口市人民医院海甸院区</w:t>
      </w:r>
      <w:r>
        <w:rPr>
          <w:rFonts w:ascii="宋体" w:hAnsi="宋体" w:eastAsia="宋体"/>
          <w:b w:val="0"/>
          <w:sz w:val="24"/>
        </w:rPr>
        <w:t>医疗低空物流配送服务项目。</w:t>
      </w:r>
    </w:p>
    <w:p w14:paraId="51CDC818">
      <w:pPr>
        <w:spacing w:before="0" w:after="0" w:line="360" w:lineRule="auto"/>
        <w:ind w:firstLine="480"/>
        <w:jc w:val="left"/>
      </w:pPr>
      <w:r>
        <w:rPr>
          <w:rFonts w:ascii="宋体" w:hAnsi="宋体" w:eastAsia="宋体"/>
          <w:b w:val="0"/>
          <w:sz w:val="24"/>
        </w:rPr>
        <w:t>2. 采购人：</w:t>
      </w:r>
      <w:r>
        <w:rPr>
          <w:rFonts w:hint="eastAsia"/>
          <w:b w:val="0"/>
          <w:sz w:val="24"/>
          <w:lang w:eastAsia="zh-CN"/>
        </w:rPr>
        <w:t>海口市人民医院</w:t>
      </w:r>
      <w:r>
        <w:rPr>
          <w:rFonts w:ascii="宋体" w:hAnsi="宋体" w:eastAsia="宋体"/>
          <w:b w:val="0"/>
          <w:sz w:val="24"/>
        </w:rPr>
        <w:t>。</w:t>
      </w:r>
    </w:p>
    <w:p w14:paraId="375E60B6">
      <w:pPr>
        <w:spacing w:before="0" w:after="0" w:line="360" w:lineRule="auto"/>
        <w:ind w:firstLine="480"/>
        <w:jc w:val="left"/>
      </w:pPr>
      <w:r>
        <w:rPr>
          <w:rFonts w:ascii="宋体" w:hAnsi="宋体" w:eastAsia="宋体"/>
          <w:b w:val="0"/>
          <w:sz w:val="24"/>
        </w:rPr>
        <w:t>3. 采购方式：公开询价。</w:t>
      </w:r>
    </w:p>
    <w:p w14:paraId="4E159182">
      <w:pPr>
        <w:spacing w:before="0" w:after="0" w:line="360" w:lineRule="auto"/>
        <w:ind w:firstLine="480"/>
        <w:jc w:val="left"/>
      </w:pPr>
      <w:r>
        <w:rPr>
          <w:rFonts w:ascii="宋体" w:hAnsi="宋体" w:eastAsia="宋体"/>
          <w:b w:val="0"/>
          <w:sz w:val="24"/>
        </w:rPr>
        <w:t>4. 项目地点：海南省海口市。</w:t>
      </w:r>
    </w:p>
    <w:p w14:paraId="2AA045F4">
      <w:pPr>
        <w:spacing w:before="0" w:after="0" w:line="360" w:lineRule="auto"/>
        <w:ind w:firstLine="480"/>
        <w:jc w:val="left"/>
      </w:pPr>
      <w:r>
        <w:rPr>
          <w:rFonts w:ascii="宋体" w:hAnsi="宋体" w:eastAsia="宋体"/>
          <w:b w:val="0"/>
          <w:sz w:val="24"/>
        </w:rPr>
        <w:t>5. 服务范围：本项目以</w:t>
      </w:r>
      <w:r>
        <w:rPr>
          <w:rFonts w:hint="eastAsia" w:ascii="宋体" w:hAnsi="宋体" w:eastAsia="宋体" w:cs="宋体"/>
          <w:kern w:val="0"/>
          <w:sz w:val="24"/>
          <w:szCs w:val="24"/>
          <w:lang w:eastAsia="zh-CN"/>
        </w:rPr>
        <w:t>海口市人民医院海甸院区</w:t>
      </w:r>
      <w:r>
        <w:rPr>
          <w:rFonts w:ascii="宋体" w:hAnsi="宋体" w:eastAsia="宋体"/>
          <w:b w:val="0"/>
          <w:sz w:val="24"/>
        </w:rPr>
        <w:t>为中心枢纽，联动以下共6家医疗机构开展医疗物资低空物流配送服务：</w:t>
      </w:r>
    </w:p>
    <w:p w14:paraId="66F83EF5">
      <w:pPr>
        <w:spacing w:line="360" w:lineRule="auto"/>
        <w:ind w:left="480" w:hanging="480"/>
      </w:pPr>
      <w:r>
        <w:rPr>
          <w:rFonts w:ascii="宋体" w:hAnsi="宋体" w:eastAsia="宋体"/>
          <w:b w:val="0"/>
          <w:sz w:val="24"/>
        </w:rPr>
        <w:t>（1）</w:t>
      </w:r>
      <w:r>
        <w:rPr>
          <w:rFonts w:hint="eastAsia"/>
          <w:b w:val="0"/>
          <w:sz w:val="24"/>
          <w:lang w:eastAsia="zh-CN"/>
        </w:rPr>
        <w:t>海口市人民医院海甸院区</w:t>
      </w:r>
      <w:r>
        <w:rPr>
          <w:rFonts w:ascii="宋体" w:hAnsi="宋体" w:eastAsia="宋体"/>
          <w:b w:val="0"/>
          <w:sz w:val="24"/>
        </w:rPr>
        <w:t>（中心枢纽站）；</w:t>
      </w:r>
    </w:p>
    <w:p w14:paraId="5A42CDA9">
      <w:pPr>
        <w:spacing w:line="360" w:lineRule="auto"/>
        <w:ind w:left="480" w:hanging="480"/>
      </w:pPr>
      <w:r>
        <w:rPr>
          <w:rFonts w:ascii="宋体" w:hAnsi="宋体" w:eastAsia="宋体"/>
          <w:b w:val="0"/>
          <w:sz w:val="24"/>
        </w:rPr>
        <w:t>（2）</w:t>
      </w:r>
      <w:r>
        <w:rPr>
          <w:rFonts w:hint="eastAsia"/>
          <w:b w:val="0"/>
          <w:sz w:val="24"/>
          <w:lang w:eastAsia="zh-CN"/>
        </w:rPr>
        <w:t>海口市妇幼保健院国兴院区</w:t>
      </w:r>
      <w:r>
        <w:rPr>
          <w:rFonts w:ascii="宋体" w:hAnsi="宋体" w:eastAsia="宋体"/>
          <w:b w:val="0"/>
          <w:sz w:val="24"/>
        </w:rPr>
        <w:t>；</w:t>
      </w:r>
    </w:p>
    <w:p w14:paraId="043B051B">
      <w:pPr>
        <w:spacing w:line="360" w:lineRule="auto"/>
        <w:ind w:left="480" w:hanging="480"/>
      </w:pPr>
      <w:r>
        <w:rPr>
          <w:rFonts w:ascii="宋体" w:hAnsi="宋体" w:eastAsia="宋体"/>
          <w:b w:val="0"/>
          <w:sz w:val="24"/>
        </w:rPr>
        <w:t>（3）</w:t>
      </w:r>
      <w:r>
        <w:rPr>
          <w:rFonts w:hint="eastAsia"/>
          <w:b w:val="0"/>
          <w:sz w:val="24"/>
          <w:lang w:eastAsia="zh-CN"/>
        </w:rPr>
        <w:t>海口市中医医院金盘院区</w:t>
      </w:r>
      <w:r>
        <w:rPr>
          <w:rFonts w:ascii="宋体" w:hAnsi="宋体" w:eastAsia="宋体"/>
          <w:b w:val="0"/>
          <w:sz w:val="24"/>
        </w:rPr>
        <w:t>；</w:t>
      </w:r>
    </w:p>
    <w:p w14:paraId="0134171E">
      <w:pPr>
        <w:spacing w:line="360" w:lineRule="auto"/>
        <w:ind w:left="480" w:hanging="480"/>
      </w:pPr>
      <w:r>
        <w:rPr>
          <w:rFonts w:ascii="宋体" w:hAnsi="宋体" w:eastAsia="宋体"/>
          <w:b w:val="0"/>
          <w:sz w:val="24"/>
        </w:rPr>
        <w:t>（4）海口市第三人民医院</w:t>
      </w:r>
      <w:r>
        <w:rPr>
          <w:rFonts w:hint="eastAsia"/>
          <w:b w:val="0"/>
          <w:sz w:val="24"/>
          <w:lang w:val="en-US" w:eastAsia="zh-CN"/>
        </w:rPr>
        <w:t>府城院区</w:t>
      </w:r>
      <w:r>
        <w:rPr>
          <w:rFonts w:ascii="宋体" w:hAnsi="宋体" w:eastAsia="宋体"/>
          <w:b w:val="0"/>
          <w:sz w:val="24"/>
        </w:rPr>
        <w:t>；</w:t>
      </w:r>
    </w:p>
    <w:p w14:paraId="2F58F58A">
      <w:pPr>
        <w:spacing w:line="360" w:lineRule="auto"/>
        <w:ind w:left="480" w:hanging="480"/>
      </w:pPr>
      <w:r>
        <w:rPr>
          <w:rFonts w:ascii="宋体" w:hAnsi="宋体" w:eastAsia="宋体"/>
          <w:b w:val="0"/>
          <w:sz w:val="24"/>
        </w:rPr>
        <w:t>（5）</w:t>
      </w:r>
      <w:r>
        <w:rPr>
          <w:rFonts w:hint="eastAsia"/>
          <w:b w:val="0"/>
          <w:sz w:val="24"/>
          <w:lang w:eastAsia="zh-CN"/>
        </w:rPr>
        <w:t>海口市第四人民医院椰海院区</w:t>
      </w:r>
      <w:r>
        <w:rPr>
          <w:rFonts w:ascii="宋体" w:hAnsi="宋体" w:eastAsia="宋体"/>
          <w:b w:val="0"/>
          <w:sz w:val="24"/>
        </w:rPr>
        <w:t>；</w:t>
      </w:r>
    </w:p>
    <w:p w14:paraId="1C87D4B2">
      <w:pPr>
        <w:spacing w:line="360" w:lineRule="auto"/>
        <w:ind w:left="480" w:hanging="480"/>
      </w:pPr>
      <w:r>
        <w:rPr>
          <w:rFonts w:ascii="宋体" w:hAnsi="宋体" w:eastAsia="宋体"/>
          <w:b w:val="0"/>
          <w:sz w:val="24"/>
        </w:rPr>
        <w:t>（6）</w:t>
      </w:r>
      <w:r>
        <w:rPr>
          <w:rFonts w:hint="eastAsia"/>
          <w:b w:val="0"/>
          <w:sz w:val="24"/>
          <w:lang w:eastAsia="zh-CN"/>
        </w:rPr>
        <w:t>海口市骨科与糖尿病医院</w:t>
      </w:r>
      <w:r>
        <w:rPr>
          <w:rFonts w:ascii="宋体" w:hAnsi="宋体" w:eastAsia="宋体"/>
          <w:b w:val="0"/>
          <w:sz w:val="24"/>
        </w:rPr>
        <w:t>。</w:t>
      </w:r>
    </w:p>
    <w:p w14:paraId="20FE31DC">
      <w:pPr>
        <w:spacing w:before="0" w:after="0" w:line="360" w:lineRule="auto"/>
        <w:ind w:firstLine="480"/>
        <w:jc w:val="left"/>
      </w:pPr>
      <w:r>
        <w:rPr>
          <w:rFonts w:ascii="宋体" w:hAnsi="宋体" w:eastAsia="宋体"/>
          <w:b w:val="0"/>
          <w:sz w:val="24"/>
        </w:rPr>
        <w:t>6. 项目内容：成交供应商负责投资建设并运营本项目所需的无人机设备、起降场地、运行监控平台等软硬件设施，办理航线使用相关手续，为上述医疗机构提供检验样本、病理样本、血液及血液制品、急救与常规药品、医用耗材等医疗物资的低空物流配送服务。</w:t>
      </w:r>
    </w:p>
    <w:p w14:paraId="49694D2A">
      <w:pPr>
        <w:spacing w:before="0" w:after="0" w:line="360" w:lineRule="auto"/>
        <w:ind w:firstLine="480"/>
        <w:jc w:val="left"/>
      </w:pPr>
      <w:r>
        <w:rPr>
          <w:rFonts w:ascii="宋体" w:hAnsi="宋体" w:eastAsia="宋体"/>
          <w:b w:val="0"/>
          <w:sz w:val="24"/>
        </w:rPr>
        <w:t>7. 服务期限：</w:t>
      </w:r>
      <w:r>
        <w:rPr>
          <w:rFonts w:hint="eastAsia"/>
          <w:b w:val="0"/>
          <w:sz w:val="24"/>
          <w:lang w:val="en-US" w:eastAsia="zh-CN"/>
        </w:rPr>
        <w:t>1</w:t>
      </w:r>
      <w:r>
        <w:rPr>
          <w:rFonts w:ascii="宋体" w:hAnsi="宋体" w:eastAsia="宋体"/>
          <w:b w:val="0"/>
          <w:sz w:val="24"/>
        </w:rPr>
        <w:t>年。合同期满前经采购人考核合格，可续签合同，续签不超过2次、每次</w:t>
      </w:r>
      <w:r>
        <w:rPr>
          <w:rFonts w:hint="eastAsia"/>
          <w:b w:val="0"/>
          <w:sz w:val="24"/>
          <w:lang w:val="en-US" w:eastAsia="zh-CN"/>
        </w:rPr>
        <w:t>1</w:t>
      </w:r>
      <w:r>
        <w:rPr>
          <w:rFonts w:ascii="宋体" w:hAnsi="宋体" w:eastAsia="宋体"/>
          <w:b w:val="0"/>
          <w:sz w:val="24"/>
        </w:rPr>
        <w:t>年，续签单价不得高于本次成交单价。</w:t>
      </w:r>
    </w:p>
    <w:p w14:paraId="739EA9AD">
      <w:pPr>
        <w:spacing w:before="280" w:after="120" w:line="360" w:lineRule="auto"/>
        <w:jc w:val="left"/>
      </w:pPr>
      <w:r>
        <w:rPr>
          <w:rFonts w:ascii="黑体" w:hAnsi="黑体" w:eastAsia="黑体"/>
          <w:b w:val="0"/>
          <w:sz w:val="30"/>
        </w:rPr>
        <w:t>二、供应商资格要求</w:t>
      </w:r>
    </w:p>
    <w:p w14:paraId="21173C85">
      <w:pPr>
        <w:spacing w:before="0" w:after="0" w:line="360" w:lineRule="auto"/>
        <w:ind w:firstLine="480"/>
        <w:jc w:val="left"/>
      </w:pPr>
      <w:r>
        <w:rPr>
          <w:rFonts w:ascii="宋体" w:hAnsi="宋体" w:eastAsia="宋体"/>
          <w:b w:val="0"/>
          <w:sz w:val="24"/>
        </w:rPr>
        <w:t>参加本项目报价的供应商应同时满足下列全部条件，并提交相应证明材料：</w:t>
      </w:r>
    </w:p>
    <w:p w14:paraId="6F7CC538">
      <w:pPr>
        <w:spacing w:line="360" w:lineRule="auto"/>
        <w:ind w:left="480" w:hanging="480"/>
      </w:pPr>
      <w:r>
        <w:rPr>
          <w:rFonts w:ascii="宋体" w:hAnsi="宋体" w:eastAsia="宋体"/>
          <w:b w:val="0"/>
          <w:sz w:val="24"/>
        </w:rPr>
        <w:t>★1. 具有独立承担民事责任的能力，持有有效营业执照，经营范围涵盖</w:t>
      </w:r>
      <w:r>
        <w:rPr>
          <w:rFonts w:hint="eastAsia"/>
          <w:b w:val="0"/>
          <w:sz w:val="24"/>
          <w:lang w:val="en-US" w:eastAsia="zh-CN"/>
        </w:rPr>
        <w:t>通用航空服务</w:t>
      </w:r>
      <w:r>
        <w:rPr>
          <w:rFonts w:ascii="宋体" w:hAnsi="宋体" w:eastAsia="宋体"/>
          <w:b w:val="0"/>
          <w:sz w:val="24"/>
        </w:rPr>
        <w:t>、物流配送、技术服务等相关内容之一。</w:t>
      </w:r>
    </w:p>
    <w:p w14:paraId="149320D1">
      <w:pPr>
        <w:spacing w:line="360" w:lineRule="auto"/>
        <w:ind w:left="480" w:hanging="480"/>
      </w:pPr>
      <w:r>
        <w:rPr>
          <w:rFonts w:ascii="宋体" w:hAnsi="宋体" w:eastAsia="宋体"/>
          <w:b w:val="0"/>
          <w:sz w:val="24"/>
        </w:rPr>
        <w:t>★2. 具有有效的《民用无人驾驶航空器运营合格证》，且其载明的运营种类、运行等级及运行区域能够覆盖本项目所需运行场景。</w:t>
      </w:r>
    </w:p>
    <w:p w14:paraId="1E17411F">
      <w:pPr>
        <w:spacing w:line="360" w:lineRule="auto"/>
        <w:ind w:left="480" w:hanging="480"/>
      </w:pPr>
      <w:r>
        <w:rPr>
          <w:rFonts w:ascii="宋体" w:hAnsi="宋体" w:eastAsia="宋体"/>
          <w:b w:val="0"/>
          <w:sz w:val="24"/>
        </w:rPr>
        <w:t>★3. 具有履行合同所必需的无人驾驶航空器运营管理能力，须自建</w:t>
      </w:r>
      <w:r>
        <w:rPr>
          <w:rFonts w:hint="eastAsia"/>
          <w:b w:val="0"/>
          <w:sz w:val="24"/>
          <w:lang w:val="en-US" w:eastAsia="zh-CN"/>
        </w:rPr>
        <w:t>或自备</w:t>
      </w:r>
      <w:r>
        <w:rPr>
          <w:rFonts w:ascii="宋体" w:hAnsi="宋体" w:eastAsia="宋体"/>
          <w:b w:val="0"/>
          <w:sz w:val="24"/>
        </w:rPr>
        <w:t>无人机运行监控平台（云端系统），具备全天候远程监控与调度能力。</w:t>
      </w:r>
    </w:p>
    <w:p w14:paraId="0A4CBF9D">
      <w:pPr>
        <w:spacing w:line="360" w:lineRule="auto"/>
        <w:ind w:left="480" w:hanging="480"/>
      </w:pPr>
      <w:r>
        <w:rPr>
          <w:rFonts w:ascii="宋体" w:hAnsi="宋体" w:eastAsia="宋体"/>
          <w:b w:val="0"/>
          <w:sz w:val="24"/>
        </w:rPr>
        <w:t>★4. 近三年（自2023年1月1日起至报价截止日）具有至少1个医疗低空物流（以无人机运送医学检验样本、病理样本、血液制品或药品等医疗物资）项目的实施或服务业绩，须提供合同关键页或业主单位出具的履约证明材料。</w:t>
      </w:r>
    </w:p>
    <w:p w14:paraId="2372B982">
      <w:pPr>
        <w:spacing w:line="360" w:lineRule="auto"/>
        <w:ind w:left="480" w:hanging="480"/>
      </w:pPr>
      <w:r>
        <w:rPr>
          <w:rFonts w:ascii="宋体" w:hAnsi="宋体" w:eastAsia="宋体"/>
          <w:b w:val="0"/>
          <w:sz w:val="24"/>
        </w:rPr>
        <w:t>★5. 拟投入本项目的无人机已完成民用无人驾驶航空器实名登记，并能够提供符合国家有关规定的产品合格证明及安全符合性材料。</w:t>
      </w:r>
    </w:p>
    <w:p w14:paraId="78BF9CB6">
      <w:pPr>
        <w:spacing w:line="360" w:lineRule="auto"/>
        <w:ind w:left="480" w:hanging="480"/>
      </w:pPr>
      <w:r>
        <w:rPr>
          <w:rFonts w:ascii="宋体" w:hAnsi="宋体" w:eastAsia="宋体"/>
          <w:b w:val="0"/>
          <w:sz w:val="24"/>
        </w:rPr>
        <w:t>★6. 参加采购活动前三年内，在经营活动中无重大违法记录；未被列入“信用中国”网站失信被执行人、重大税收违法失信主体名单。</w:t>
      </w:r>
    </w:p>
    <w:p w14:paraId="704D9F0A">
      <w:pPr>
        <w:spacing w:line="360" w:lineRule="auto"/>
        <w:ind w:left="480" w:hanging="480"/>
      </w:pPr>
      <w:r>
        <w:rPr>
          <w:rFonts w:ascii="宋体" w:hAnsi="宋体" w:eastAsia="宋体"/>
          <w:b w:val="0"/>
          <w:sz w:val="24"/>
        </w:rPr>
        <w:t>★7. 本项目不接受联合体报价，成交后不得转包，未经采购人书面同意不得分包。</w:t>
      </w:r>
    </w:p>
    <w:p w14:paraId="37678D98">
      <w:pPr>
        <w:spacing w:line="360" w:lineRule="auto"/>
        <w:ind w:left="480" w:hanging="480"/>
        <w:rPr>
          <w:rFonts w:ascii="宋体" w:hAnsi="宋体" w:eastAsia="宋体"/>
          <w:b w:val="0"/>
          <w:sz w:val="24"/>
        </w:rPr>
      </w:pPr>
      <w:r>
        <w:rPr>
          <w:rFonts w:ascii="宋体" w:hAnsi="宋体" w:eastAsia="宋体"/>
          <w:b w:val="0"/>
          <w:sz w:val="24"/>
        </w:rPr>
        <w:t>★8. 单位负责人为同一人或者存在直接控股、管理关系的不同供应商，不得同时参加本项目报价。</w:t>
      </w:r>
    </w:p>
    <w:p w14:paraId="163F5B24">
      <w:pPr>
        <w:spacing w:before="280" w:after="120" w:line="360" w:lineRule="auto"/>
        <w:jc w:val="left"/>
      </w:pPr>
      <w:r>
        <w:rPr>
          <w:rFonts w:ascii="黑体" w:hAnsi="黑体" w:eastAsia="黑体"/>
          <w:b w:val="0"/>
          <w:sz w:val="30"/>
        </w:rPr>
        <w:t>三、技术服务需求</w:t>
      </w:r>
    </w:p>
    <w:p w14:paraId="50A0F6E1">
      <w:pPr>
        <w:spacing w:before="160" w:after="80" w:line="360" w:lineRule="auto"/>
        <w:jc w:val="left"/>
      </w:pPr>
      <w:r>
        <w:rPr>
          <w:rFonts w:ascii="黑体" w:hAnsi="黑体" w:eastAsia="黑体"/>
          <w:b w:val="0"/>
          <w:sz w:val="26"/>
        </w:rPr>
        <w:t>（一）航线网络与航线使用</w:t>
      </w:r>
    </w:p>
    <w:p w14:paraId="190FEF5E">
      <w:pPr>
        <w:spacing w:line="360" w:lineRule="auto"/>
        <w:ind w:left="480" w:hanging="480"/>
      </w:pPr>
      <w:r>
        <w:rPr>
          <w:rFonts w:ascii="宋体" w:hAnsi="宋体" w:eastAsia="宋体"/>
          <w:b w:val="0"/>
          <w:sz w:val="24"/>
        </w:rPr>
        <w:t>★1. 成交供应商须以</w:t>
      </w:r>
      <w:r>
        <w:rPr>
          <w:rFonts w:hint="eastAsia"/>
          <w:b w:val="0"/>
          <w:sz w:val="24"/>
          <w:lang w:eastAsia="zh-CN"/>
        </w:rPr>
        <w:t>海口市人民医院海甸院区</w:t>
      </w:r>
      <w:r>
        <w:rPr>
          <w:rFonts w:ascii="宋体" w:hAnsi="宋体" w:eastAsia="宋体"/>
          <w:b w:val="0"/>
          <w:sz w:val="24"/>
        </w:rPr>
        <w:t>为中心枢纽，分别建立其与</w:t>
      </w:r>
      <w:r>
        <w:rPr>
          <w:rFonts w:hint="eastAsia"/>
          <w:b w:val="0"/>
          <w:sz w:val="24"/>
          <w:lang w:eastAsia="zh-CN"/>
        </w:rPr>
        <w:t>海口市妇幼保健院国兴院区</w:t>
      </w:r>
      <w:r>
        <w:rPr>
          <w:rFonts w:ascii="宋体" w:hAnsi="宋体" w:eastAsia="宋体"/>
          <w:b w:val="0"/>
          <w:sz w:val="24"/>
        </w:rPr>
        <w:t>、</w:t>
      </w:r>
      <w:r>
        <w:rPr>
          <w:rFonts w:hint="eastAsia"/>
          <w:b w:val="0"/>
          <w:sz w:val="24"/>
          <w:lang w:eastAsia="zh-CN"/>
        </w:rPr>
        <w:t>海口市中医医院金盘院区</w:t>
      </w:r>
      <w:r>
        <w:rPr>
          <w:rFonts w:ascii="宋体" w:hAnsi="宋体" w:eastAsia="宋体"/>
          <w:b w:val="0"/>
          <w:sz w:val="24"/>
        </w:rPr>
        <w:t>、海口市第三人民医院、</w:t>
      </w:r>
      <w:r>
        <w:rPr>
          <w:rFonts w:hint="eastAsia"/>
          <w:b w:val="0"/>
          <w:sz w:val="24"/>
          <w:lang w:eastAsia="zh-CN"/>
        </w:rPr>
        <w:t>海口市第四人民医院椰海院区</w:t>
      </w:r>
      <w:r>
        <w:rPr>
          <w:rFonts w:ascii="宋体" w:hAnsi="宋体" w:eastAsia="宋体"/>
          <w:b w:val="0"/>
          <w:sz w:val="24"/>
        </w:rPr>
        <w:t>、</w:t>
      </w:r>
      <w:r>
        <w:rPr>
          <w:rFonts w:hint="eastAsia"/>
          <w:b w:val="0"/>
          <w:sz w:val="24"/>
          <w:lang w:eastAsia="zh-CN"/>
        </w:rPr>
        <w:t>海口市骨科与糖尿病医院</w:t>
      </w:r>
      <w:r>
        <w:rPr>
          <w:rFonts w:ascii="宋体" w:hAnsi="宋体" w:eastAsia="宋体"/>
          <w:b w:val="0"/>
          <w:sz w:val="24"/>
        </w:rPr>
        <w:t>之间的点对点直连航线，共5条。</w:t>
      </w:r>
    </w:p>
    <w:p w14:paraId="259D2407">
      <w:pPr>
        <w:spacing w:line="360" w:lineRule="auto"/>
        <w:ind w:left="480" w:hanging="480"/>
      </w:pPr>
      <w:r>
        <w:rPr>
          <w:rFonts w:ascii="宋体" w:hAnsi="宋体" w:eastAsia="宋体"/>
          <w:b w:val="0"/>
          <w:sz w:val="24"/>
        </w:rPr>
        <w:t>★2. 地理位置相邻的医疗机构之间须建立转运航线，形成可循环的环线运输网络，以满足多点串飞、往返调度及应急绕飞需要。具体相邻关系由供应商在方案中提出，经采购人确认后实施。</w:t>
      </w:r>
    </w:p>
    <w:p w14:paraId="59BF8837">
      <w:pPr>
        <w:spacing w:line="360" w:lineRule="auto"/>
        <w:ind w:left="480" w:hanging="480"/>
      </w:pPr>
      <w:r>
        <w:rPr>
          <w:rFonts w:ascii="宋体" w:hAnsi="宋体" w:eastAsia="宋体"/>
          <w:b w:val="0"/>
          <w:sz w:val="24"/>
        </w:rPr>
        <w:t>★3. 成交供应商负责本项目全部航线的规划、勘测、报批及空域（航线）使用相关手续办理，承担由此产生的全部费用，并确保每一条航线在投入运营前已依照《无人驾驶航空器飞行管理暂行条例》及海南省、海口市有关低空飞行管理规定取得合法使用权限。未取得合法使用权限的航线不得开展飞行活动。</w:t>
      </w:r>
    </w:p>
    <w:p w14:paraId="6863D36A">
      <w:pPr>
        <w:spacing w:line="360" w:lineRule="auto"/>
        <w:ind w:left="480" w:hanging="480"/>
      </w:pPr>
      <w:r>
        <w:rPr>
          <w:rFonts w:ascii="宋体" w:hAnsi="宋体" w:eastAsia="宋体"/>
          <w:b w:val="0"/>
          <w:sz w:val="24"/>
        </w:rPr>
        <w:t>★4. 飞行高度、飞行时段、飞行区域须符合民航及公安等监管部门要求，并接受采购人及监管部门监督。因航线手续不全、违规飞行导致的行政处罚、飞行事故及其他损失，均由成交供应商承担。</w:t>
      </w:r>
    </w:p>
    <w:p w14:paraId="054064E4">
      <w:pPr>
        <w:spacing w:before="160" w:after="80" w:line="360" w:lineRule="auto"/>
        <w:jc w:val="left"/>
      </w:pPr>
      <w:r>
        <w:rPr>
          <w:rFonts w:ascii="黑体" w:hAnsi="黑体" w:eastAsia="黑体"/>
          <w:b w:val="0"/>
          <w:sz w:val="26"/>
        </w:rPr>
        <w:t>（二）无人机设备要求</w:t>
      </w:r>
    </w:p>
    <w:p w14:paraId="64652B03">
      <w:pPr>
        <w:spacing w:before="0" w:after="0" w:line="360" w:lineRule="auto"/>
        <w:ind w:firstLine="480"/>
        <w:jc w:val="left"/>
      </w:pPr>
      <w:r>
        <w:rPr>
          <w:rFonts w:ascii="宋体" w:hAnsi="宋体" w:eastAsia="宋体"/>
          <w:b w:val="0"/>
          <w:sz w:val="24"/>
        </w:rPr>
        <w:t>★1. 拟投入本项目的物流无人驾驶航空器须同时满足下表全部性能指标要求：</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0"/>
        <w:gridCol w:w="1825"/>
        <w:gridCol w:w="5896"/>
      </w:tblGrid>
      <w:tr w14:paraId="33EC2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0" w:type="dxa"/>
          </w:tcPr>
          <w:p w14:paraId="2CB4ECBF">
            <w:pPr>
              <w:spacing w:line="276" w:lineRule="auto"/>
              <w:jc w:val="center"/>
            </w:pPr>
            <w:r>
              <w:rPr>
                <w:rFonts w:ascii="黑体" w:hAnsi="黑体" w:eastAsia="黑体"/>
                <w:b w:val="0"/>
                <w:sz w:val="21"/>
              </w:rPr>
              <w:t>序号</w:t>
            </w:r>
          </w:p>
        </w:tc>
        <w:tc>
          <w:tcPr>
            <w:tcW w:w="1825" w:type="dxa"/>
          </w:tcPr>
          <w:p w14:paraId="515175B3">
            <w:pPr>
              <w:spacing w:line="276" w:lineRule="auto"/>
              <w:jc w:val="center"/>
            </w:pPr>
            <w:r>
              <w:rPr>
                <w:rFonts w:ascii="黑体" w:hAnsi="黑体" w:eastAsia="黑体"/>
                <w:b w:val="0"/>
                <w:sz w:val="21"/>
              </w:rPr>
              <w:t>性能指标</w:t>
            </w:r>
          </w:p>
        </w:tc>
        <w:tc>
          <w:tcPr>
            <w:tcW w:w="5896" w:type="dxa"/>
          </w:tcPr>
          <w:p w14:paraId="5D09C586">
            <w:pPr>
              <w:spacing w:line="276" w:lineRule="auto"/>
              <w:jc w:val="center"/>
            </w:pPr>
            <w:r>
              <w:rPr>
                <w:rFonts w:ascii="黑体" w:hAnsi="黑体" w:eastAsia="黑体"/>
                <w:b w:val="0"/>
                <w:sz w:val="21"/>
              </w:rPr>
              <w:t>技术要求</w:t>
            </w:r>
          </w:p>
        </w:tc>
      </w:tr>
      <w:tr w14:paraId="40CDE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0" w:type="dxa"/>
          </w:tcPr>
          <w:p w14:paraId="65B089DC">
            <w:pPr>
              <w:spacing w:line="276" w:lineRule="auto"/>
              <w:jc w:val="center"/>
            </w:pPr>
            <w:r>
              <w:rPr>
                <w:rFonts w:ascii="宋体" w:hAnsi="宋体" w:eastAsia="宋体"/>
                <w:b w:val="0"/>
                <w:sz w:val="21"/>
              </w:rPr>
              <w:t>1</w:t>
            </w:r>
          </w:p>
        </w:tc>
        <w:tc>
          <w:tcPr>
            <w:tcW w:w="1825" w:type="dxa"/>
          </w:tcPr>
          <w:p w14:paraId="2F204AC8">
            <w:pPr>
              <w:spacing w:line="276" w:lineRule="auto"/>
              <w:jc w:val="left"/>
            </w:pPr>
            <w:r>
              <w:rPr>
                <w:rFonts w:ascii="宋体" w:hAnsi="宋体" w:eastAsia="宋体"/>
                <w:b w:val="0"/>
                <w:sz w:val="21"/>
              </w:rPr>
              <w:t>最大载重</w:t>
            </w:r>
          </w:p>
        </w:tc>
        <w:tc>
          <w:tcPr>
            <w:tcW w:w="5896" w:type="dxa"/>
          </w:tcPr>
          <w:p w14:paraId="30DA68CE">
            <w:pPr>
              <w:spacing w:line="276" w:lineRule="auto"/>
              <w:jc w:val="left"/>
            </w:pPr>
            <w:r>
              <w:rPr>
                <w:rFonts w:ascii="宋体" w:hAnsi="宋体" w:eastAsia="宋体"/>
                <w:b w:val="0"/>
                <w:sz w:val="21"/>
              </w:rPr>
              <w:t>不低于</w:t>
            </w:r>
            <w:r>
              <w:rPr>
                <w:rFonts w:hint="eastAsia"/>
                <w:b w:val="0"/>
                <w:sz w:val="21"/>
                <w:lang w:val="en-US" w:eastAsia="zh-CN"/>
              </w:rPr>
              <w:t>5</w:t>
            </w:r>
            <w:r>
              <w:rPr>
                <w:rFonts w:ascii="宋体" w:hAnsi="宋体" w:eastAsia="宋体"/>
                <w:b w:val="0"/>
                <w:sz w:val="21"/>
              </w:rPr>
              <w:t>kg（单架次有效载荷）</w:t>
            </w:r>
          </w:p>
        </w:tc>
      </w:tr>
      <w:tr w14:paraId="1CB5E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0" w:type="dxa"/>
          </w:tcPr>
          <w:p w14:paraId="541D9F42">
            <w:pPr>
              <w:spacing w:line="276" w:lineRule="auto"/>
              <w:jc w:val="center"/>
            </w:pPr>
            <w:r>
              <w:rPr>
                <w:rFonts w:ascii="宋体" w:hAnsi="宋体" w:eastAsia="宋体"/>
                <w:b w:val="0"/>
                <w:sz w:val="21"/>
              </w:rPr>
              <w:t>2</w:t>
            </w:r>
          </w:p>
        </w:tc>
        <w:tc>
          <w:tcPr>
            <w:tcW w:w="1825" w:type="dxa"/>
          </w:tcPr>
          <w:p w14:paraId="1CBDD5B4">
            <w:pPr>
              <w:spacing w:line="276" w:lineRule="auto"/>
              <w:jc w:val="left"/>
              <w:rPr>
                <w:rFonts w:hint="eastAsia" w:eastAsia="宋体"/>
                <w:lang w:eastAsia="zh-CN"/>
              </w:rPr>
            </w:pPr>
            <w:r>
              <w:rPr>
                <w:rFonts w:ascii="宋体" w:hAnsi="宋体" w:eastAsia="宋体"/>
                <w:b w:val="0"/>
                <w:sz w:val="21"/>
              </w:rPr>
              <w:t>最大航程</w:t>
            </w:r>
            <w:r>
              <w:rPr>
                <w:rFonts w:hint="eastAsia"/>
                <w:b w:val="0"/>
                <w:sz w:val="21"/>
                <w:lang w:eastAsia="zh-CN"/>
              </w:rPr>
              <w:t>（</w:t>
            </w:r>
            <w:r>
              <w:rPr>
                <w:rFonts w:hint="eastAsia"/>
                <w:b w:val="0"/>
                <w:sz w:val="21"/>
                <w:lang w:val="en-US" w:eastAsia="zh-CN"/>
              </w:rPr>
              <w:t>空载</w:t>
            </w:r>
            <w:r>
              <w:rPr>
                <w:rFonts w:hint="eastAsia"/>
                <w:b w:val="0"/>
                <w:sz w:val="21"/>
                <w:lang w:eastAsia="zh-CN"/>
              </w:rPr>
              <w:t>）</w:t>
            </w:r>
          </w:p>
        </w:tc>
        <w:tc>
          <w:tcPr>
            <w:tcW w:w="5896" w:type="dxa"/>
          </w:tcPr>
          <w:p w14:paraId="1E28DF36">
            <w:pPr>
              <w:spacing w:line="276" w:lineRule="auto"/>
              <w:jc w:val="left"/>
            </w:pPr>
            <w:r>
              <w:rPr>
                <w:rFonts w:ascii="宋体" w:hAnsi="宋体" w:eastAsia="宋体"/>
                <w:b w:val="0"/>
                <w:sz w:val="21"/>
              </w:rPr>
              <w:t>不低于</w:t>
            </w:r>
            <w:r>
              <w:rPr>
                <w:rFonts w:hint="eastAsia"/>
                <w:b w:val="0"/>
                <w:sz w:val="21"/>
                <w:lang w:val="en-US" w:eastAsia="zh-CN"/>
              </w:rPr>
              <w:t>20</w:t>
            </w:r>
            <w:r>
              <w:rPr>
                <w:rFonts w:ascii="宋体" w:hAnsi="宋体" w:eastAsia="宋体"/>
                <w:b w:val="0"/>
                <w:sz w:val="21"/>
              </w:rPr>
              <w:t>km</w:t>
            </w:r>
          </w:p>
        </w:tc>
      </w:tr>
      <w:tr w14:paraId="47A69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0" w:type="dxa"/>
          </w:tcPr>
          <w:p w14:paraId="14AB110B">
            <w:pPr>
              <w:spacing w:line="276" w:lineRule="auto"/>
              <w:jc w:val="center"/>
            </w:pPr>
            <w:r>
              <w:rPr>
                <w:rFonts w:ascii="宋体" w:hAnsi="宋体" w:eastAsia="宋体"/>
                <w:b w:val="0"/>
                <w:sz w:val="21"/>
              </w:rPr>
              <w:t>3</w:t>
            </w:r>
          </w:p>
        </w:tc>
        <w:tc>
          <w:tcPr>
            <w:tcW w:w="1825" w:type="dxa"/>
          </w:tcPr>
          <w:p w14:paraId="1722FBC6">
            <w:pPr>
              <w:spacing w:line="276" w:lineRule="auto"/>
              <w:jc w:val="left"/>
            </w:pPr>
            <w:r>
              <w:rPr>
                <w:rFonts w:ascii="宋体" w:hAnsi="宋体" w:eastAsia="宋体"/>
                <w:b w:val="0"/>
                <w:sz w:val="21"/>
              </w:rPr>
              <w:t>巡航速度</w:t>
            </w:r>
          </w:p>
        </w:tc>
        <w:tc>
          <w:tcPr>
            <w:tcW w:w="5896" w:type="dxa"/>
          </w:tcPr>
          <w:p w14:paraId="40A37F69">
            <w:pPr>
              <w:spacing w:line="276" w:lineRule="auto"/>
              <w:jc w:val="left"/>
            </w:pPr>
            <w:r>
              <w:rPr>
                <w:rFonts w:ascii="宋体" w:hAnsi="宋体" w:eastAsia="宋体"/>
                <w:b w:val="0"/>
                <w:sz w:val="21"/>
              </w:rPr>
              <w:t>不低于</w:t>
            </w:r>
            <w:r>
              <w:rPr>
                <w:rFonts w:hint="eastAsia"/>
                <w:b w:val="0"/>
                <w:sz w:val="21"/>
                <w:lang w:val="en-US" w:eastAsia="zh-CN"/>
              </w:rPr>
              <w:t>60</w:t>
            </w:r>
            <w:r>
              <w:rPr>
                <w:rFonts w:ascii="宋体" w:hAnsi="宋体" w:eastAsia="宋体"/>
                <w:b w:val="0"/>
                <w:sz w:val="21"/>
              </w:rPr>
              <w:t>km/h</w:t>
            </w:r>
          </w:p>
        </w:tc>
      </w:tr>
      <w:tr w14:paraId="4D34F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0" w:type="dxa"/>
          </w:tcPr>
          <w:p w14:paraId="29DCD42B">
            <w:pPr>
              <w:spacing w:line="276" w:lineRule="auto"/>
              <w:jc w:val="center"/>
            </w:pPr>
            <w:r>
              <w:rPr>
                <w:rFonts w:ascii="宋体" w:hAnsi="宋体" w:eastAsia="宋体"/>
                <w:b w:val="0"/>
                <w:sz w:val="21"/>
              </w:rPr>
              <w:t>4</w:t>
            </w:r>
          </w:p>
        </w:tc>
        <w:tc>
          <w:tcPr>
            <w:tcW w:w="1825" w:type="dxa"/>
          </w:tcPr>
          <w:p w14:paraId="1D034C51">
            <w:pPr>
              <w:spacing w:line="276" w:lineRule="auto"/>
              <w:jc w:val="left"/>
            </w:pPr>
            <w:r>
              <w:rPr>
                <w:rFonts w:ascii="宋体" w:hAnsi="宋体" w:eastAsia="宋体"/>
                <w:b w:val="0"/>
                <w:sz w:val="21"/>
              </w:rPr>
              <w:t>续航方式</w:t>
            </w:r>
          </w:p>
        </w:tc>
        <w:tc>
          <w:tcPr>
            <w:tcW w:w="5896" w:type="dxa"/>
          </w:tcPr>
          <w:p w14:paraId="0BD33869">
            <w:pPr>
              <w:spacing w:line="276" w:lineRule="auto"/>
              <w:jc w:val="left"/>
            </w:pPr>
            <w:r>
              <w:rPr>
                <w:rFonts w:ascii="宋体" w:hAnsi="宋体" w:eastAsia="宋体"/>
                <w:b w:val="0"/>
                <w:sz w:val="21"/>
              </w:rPr>
              <w:t>支持电池快速更换，可通过换电实现不间断连续飞行作业</w:t>
            </w:r>
          </w:p>
        </w:tc>
      </w:tr>
      <w:tr w14:paraId="532F2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0" w:type="dxa"/>
          </w:tcPr>
          <w:p w14:paraId="1F91664B">
            <w:pPr>
              <w:spacing w:line="276" w:lineRule="auto"/>
              <w:jc w:val="center"/>
            </w:pPr>
            <w:r>
              <w:rPr>
                <w:rFonts w:ascii="宋体" w:hAnsi="宋体" w:eastAsia="宋体"/>
                <w:b w:val="0"/>
                <w:sz w:val="21"/>
              </w:rPr>
              <w:t>5</w:t>
            </w:r>
          </w:p>
        </w:tc>
        <w:tc>
          <w:tcPr>
            <w:tcW w:w="1825" w:type="dxa"/>
          </w:tcPr>
          <w:p w14:paraId="7B9F646E">
            <w:pPr>
              <w:spacing w:line="276" w:lineRule="auto"/>
              <w:jc w:val="left"/>
            </w:pPr>
            <w:r>
              <w:rPr>
                <w:rFonts w:ascii="宋体" w:hAnsi="宋体" w:eastAsia="宋体"/>
                <w:b w:val="0"/>
                <w:sz w:val="21"/>
              </w:rPr>
              <w:t>起降方式</w:t>
            </w:r>
          </w:p>
        </w:tc>
        <w:tc>
          <w:tcPr>
            <w:tcW w:w="5896" w:type="dxa"/>
          </w:tcPr>
          <w:p w14:paraId="114B79C3">
            <w:pPr>
              <w:spacing w:line="276" w:lineRule="auto"/>
              <w:jc w:val="left"/>
            </w:pPr>
            <w:r>
              <w:rPr>
                <w:rFonts w:ascii="宋体" w:hAnsi="宋体" w:eastAsia="宋体"/>
                <w:b w:val="0"/>
                <w:sz w:val="21"/>
              </w:rPr>
              <w:t>垂直起降，可在医疗机构院区内有限场地起降</w:t>
            </w:r>
          </w:p>
        </w:tc>
      </w:tr>
      <w:tr w14:paraId="10B55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0" w:type="dxa"/>
          </w:tcPr>
          <w:p w14:paraId="727907DA">
            <w:pPr>
              <w:spacing w:line="276" w:lineRule="auto"/>
              <w:jc w:val="center"/>
            </w:pPr>
            <w:r>
              <w:rPr>
                <w:rFonts w:ascii="宋体" w:hAnsi="宋体" w:eastAsia="宋体"/>
                <w:b w:val="0"/>
                <w:sz w:val="21"/>
              </w:rPr>
              <w:t>6</w:t>
            </w:r>
          </w:p>
        </w:tc>
        <w:tc>
          <w:tcPr>
            <w:tcW w:w="1825" w:type="dxa"/>
          </w:tcPr>
          <w:p w14:paraId="78689078">
            <w:pPr>
              <w:spacing w:line="276" w:lineRule="auto"/>
              <w:jc w:val="left"/>
            </w:pPr>
            <w:r>
              <w:rPr>
                <w:rFonts w:ascii="宋体" w:hAnsi="宋体" w:eastAsia="宋体"/>
                <w:b w:val="0"/>
                <w:sz w:val="21"/>
              </w:rPr>
              <w:t>安全设计</w:t>
            </w:r>
          </w:p>
        </w:tc>
        <w:tc>
          <w:tcPr>
            <w:tcW w:w="5896" w:type="dxa"/>
          </w:tcPr>
          <w:p w14:paraId="32DEB647">
            <w:pPr>
              <w:spacing w:line="276" w:lineRule="auto"/>
              <w:jc w:val="left"/>
            </w:pPr>
            <w:r>
              <w:rPr>
                <w:rFonts w:ascii="宋体" w:hAnsi="宋体" w:eastAsia="宋体"/>
                <w:b w:val="0"/>
                <w:sz w:val="21"/>
              </w:rPr>
              <w:t>具备多冗余安全设计，至少涵盖飞控系统、导航定位系统、动力系统、通信链路</w:t>
            </w:r>
          </w:p>
        </w:tc>
      </w:tr>
      <w:tr w14:paraId="32347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0" w:type="dxa"/>
          </w:tcPr>
          <w:p w14:paraId="08DED7B5">
            <w:pPr>
              <w:spacing w:line="276" w:lineRule="auto"/>
              <w:jc w:val="center"/>
            </w:pPr>
            <w:r>
              <w:rPr>
                <w:rFonts w:ascii="宋体" w:hAnsi="宋体" w:eastAsia="宋体"/>
                <w:b w:val="0"/>
                <w:sz w:val="21"/>
              </w:rPr>
              <w:t>7</w:t>
            </w:r>
          </w:p>
        </w:tc>
        <w:tc>
          <w:tcPr>
            <w:tcW w:w="1825" w:type="dxa"/>
          </w:tcPr>
          <w:p w14:paraId="03F8B430">
            <w:pPr>
              <w:spacing w:line="276" w:lineRule="auto"/>
              <w:jc w:val="left"/>
            </w:pPr>
            <w:r>
              <w:rPr>
                <w:rFonts w:ascii="宋体" w:hAnsi="宋体" w:eastAsia="宋体"/>
                <w:b w:val="0"/>
                <w:sz w:val="21"/>
              </w:rPr>
              <w:t>飞行能力</w:t>
            </w:r>
          </w:p>
        </w:tc>
        <w:tc>
          <w:tcPr>
            <w:tcW w:w="5896" w:type="dxa"/>
          </w:tcPr>
          <w:p w14:paraId="5D93980E">
            <w:pPr>
              <w:spacing w:line="276" w:lineRule="auto"/>
              <w:jc w:val="left"/>
            </w:pPr>
            <w:r>
              <w:rPr>
                <w:rFonts w:ascii="宋体" w:hAnsi="宋体" w:eastAsia="宋体"/>
                <w:b w:val="0"/>
                <w:sz w:val="21"/>
              </w:rPr>
              <w:t>具备全程自主飞行能力，起飞、巡航、降落无需人工现场操控</w:t>
            </w:r>
          </w:p>
        </w:tc>
      </w:tr>
      <w:tr w14:paraId="44A58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0" w:type="dxa"/>
          </w:tcPr>
          <w:p w14:paraId="230404DE">
            <w:pPr>
              <w:spacing w:line="276" w:lineRule="auto"/>
              <w:jc w:val="center"/>
            </w:pPr>
            <w:r>
              <w:rPr>
                <w:rFonts w:ascii="宋体" w:hAnsi="宋体" w:eastAsia="宋体"/>
                <w:b w:val="0"/>
                <w:sz w:val="21"/>
              </w:rPr>
              <w:t>8</w:t>
            </w:r>
          </w:p>
        </w:tc>
        <w:tc>
          <w:tcPr>
            <w:tcW w:w="1825" w:type="dxa"/>
          </w:tcPr>
          <w:p w14:paraId="5FA1973F">
            <w:pPr>
              <w:spacing w:line="276" w:lineRule="auto"/>
              <w:jc w:val="left"/>
            </w:pPr>
            <w:r>
              <w:rPr>
                <w:rFonts w:ascii="宋体" w:hAnsi="宋体" w:eastAsia="宋体"/>
                <w:b w:val="0"/>
                <w:sz w:val="21"/>
              </w:rPr>
              <w:t>温度控制</w:t>
            </w:r>
          </w:p>
        </w:tc>
        <w:tc>
          <w:tcPr>
            <w:tcW w:w="5896" w:type="dxa"/>
          </w:tcPr>
          <w:p w14:paraId="61AB4C4D">
            <w:pPr>
              <w:spacing w:line="276" w:lineRule="auto"/>
              <w:jc w:val="left"/>
            </w:pPr>
            <w:r>
              <w:rPr>
                <w:rFonts w:ascii="宋体" w:hAnsi="宋体" w:eastAsia="宋体"/>
                <w:b w:val="0"/>
                <w:sz w:val="21"/>
              </w:rPr>
              <w:t>配备专用冷链保温货舱／温控运输箱，支持冷藏（2℃～8℃）与常温等多种温控模式</w:t>
            </w:r>
          </w:p>
        </w:tc>
      </w:tr>
      <w:tr w14:paraId="0C122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0" w:type="dxa"/>
          </w:tcPr>
          <w:p w14:paraId="1DE06E4B">
            <w:pPr>
              <w:spacing w:line="276" w:lineRule="auto"/>
              <w:jc w:val="center"/>
            </w:pPr>
            <w:r>
              <w:rPr>
                <w:rFonts w:ascii="宋体" w:hAnsi="宋体" w:eastAsia="宋体"/>
                <w:b w:val="0"/>
                <w:sz w:val="21"/>
              </w:rPr>
              <w:t>9</w:t>
            </w:r>
          </w:p>
        </w:tc>
        <w:tc>
          <w:tcPr>
            <w:tcW w:w="1825" w:type="dxa"/>
          </w:tcPr>
          <w:p w14:paraId="5DF9DB78">
            <w:pPr>
              <w:spacing w:line="276" w:lineRule="auto"/>
              <w:jc w:val="left"/>
            </w:pPr>
            <w:r>
              <w:rPr>
                <w:rFonts w:ascii="宋体" w:hAnsi="宋体" w:eastAsia="宋体"/>
                <w:b w:val="0"/>
                <w:sz w:val="21"/>
              </w:rPr>
              <w:t>夜航能力</w:t>
            </w:r>
          </w:p>
        </w:tc>
        <w:tc>
          <w:tcPr>
            <w:tcW w:w="5896" w:type="dxa"/>
          </w:tcPr>
          <w:p w14:paraId="1B962062">
            <w:pPr>
              <w:spacing w:line="276" w:lineRule="auto"/>
              <w:jc w:val="left"/>
            </w:pPr>
            <w:r>
              <w:rPr>
                <w:rFonts w:ascii="宋体" w:hAnsi="宋体" w:eastAsia="宋体"/>
                <w:b w:val="0"/>
                <w:sz w:val="21"/>
              </w:rPr>
              <w:t>具备夜间飞行能力与相应运行资质，配置夜间航行灯</w:t>
            </w:r>
          </w:p>
        </w:tc>
      </w:tr>
      <w:tr w14:paraId="77784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0" w:type="dxa"/>
          </w:tcPr>
          <w:p w14:paraId="0A4DE868">
            <w:pPr>
              <w:spacing w:line="276" w:lineRule="auto"/>
              <w:jc w:val="center"/>
            </w:pPr>
            <w:r>
              <w:rPr>
                <w:rFonts w:ascii="宋体" w:hAnsi="宋体" w:eastAsia="宋体"/>
                <w:b w:val="0"/>
                <w:sz w:val="21"/>
              </w:rPr>
              <w:t>10</w:t>
            </w:r>
          </w:p>
        </w:tc>
        <w:tc>
          <w:tcPr>
            <w:tcW w:w="1825" w:type="dxa"/>
          </w:tcPr>
          <w:p w14:paraId="79E08E5A">
            <w:pPr>
              <w:spacing w:line="276" w:lineRule="auto"/>
              <w:jc w:val="left"/>
            </w:pPr>
            <w:r>
              <w:rPr>
                <w:rFonts w:ascii="宋体" w:hAnsi="宋体" w:eastAsia="宋体"/>
                <w:b w:val="0"/>
                <w:sz w:val="21"/>
              </w:rPr>
              <w:t>数据回传</w:t>
            </w:r>
          </w:p>
        </w:tc>
        <w:tc>
          <w:tcPr>
            <w:tcW w:w="5896" w:type="dxa"/>
          </w:tcPr>
          <w:p w14:paraId="52AE1BC0">
            <w:pPr>
              <w:spacing w:line="276" w:lineRule="auto"/>
              <w:jc w:val="left"/>
            </w:pPr>
            <w:r>
              <w:rPr>
                <w:rFonts w:ascii="宋体" w:hAnsi="宋体" w:eastAsia="宋体"/>
                <w:b w:val="0"/>
                <w:sz w:val="21"/>
              </w:rPr>
              <w:t>支持飞行状态、实时位置、货舱温度、电池电量等运行数据实时回传</w:t>
            </w:r>
          </w:p>
        </w:tc>
      </w:tr>
    </w:tbl>
    <w:p w14:paraId="007BDA35">
      <w:pPr>
        <w:spacing w:before="0" w:after="0" w:line="360" w:lineRule="auto"/>
        <w:ind w:firstLine="480"/>
        <w:jc w:val="left"/>
      </w:pPr>
    </w:p>
    <w:p w14:paraId="58DCA619">
      <w:pPr>
        <w:spacing w:line="360" w:lineRule="auto"/>
        <w:ind w:left="480" w:hanging="480"/>
      </w:pPr>
      <w:r>
        <w:rPr>
          <w:rFonts w:ascii="宋体" w:hAnsi="宋体" w:eastAsia="宋体"/>
          <w:b w:val="0"/>
          <w:sz w:val="24"/>
        </w:rPr>
        <w:t>★2. 投入数量：投入本项目常态化运营的物流无人机不少于</w:t>
      </w:r>
      <w:r>
        <w:rPr>
          <w:rFonts w:hint="eastAsia"/>
          <w:b w:val="0"/>
          <w:sz w:val="24"/>
          <w:lang w:val="en-US" w:eastAsia="zh-CN"/>
        </w:rPr>
        <w:t>2</w:t>
      </w:r>
      <w:r>
        <w:rPr>
          <w:rFonts w:ascii="宋体" w:hAnsi="宋体" w:eastAsia="宋体"/>
          <w:b w:val="0"/>
          <w:sz w:val="24"/>
        </w:rPr>
        <w:t>架，其中至少1架作为应急备份机常驻待命，确保任一时刻均能保障既定航班计划执行。</w:t>
      </w:r>
    </w:p>
    <w:p w14:paraId="34DC173A">
      <w:pPr>
        <w:spacing w:line="360" w:lineRule="auto"/>
        <w:ind w:left="480" w:hanging="480"/>
      </w:pPr>
      <w:r>
        <w:rPr>
          <w:rFonts w:ascii="宋体" w:hAnsi="宋体" w:eastAsia="宋体"/>
          <w:b w:val="0"/>
          <w:sz w:val="24"/>
        </w:rPr>
        <w:t>★3. 无人机及其配套电池、货舱、换电设备等由成交供应商自行购置并承担全部费用，产权归成交供应商所有，服务期届满后由成交供应商自行处置。</w:t>
      </w:r>
    </w:p>
    <w:p w14:paraId="1A693C16">
      <w:pPr>
        <w:spacing w:before="160" w:after="80" w:line="360" w:lineRule="auto"/>
        <w:jc w:val="left"/>
      </w:pPr>
      <w:r>
        <w:rPr>
          <w:rFonts w:ascii="黑体" w:hAnsi="黑体" w:eastAsia="黑体"/>
          <w:b w:val="0"/>
          <w:sz w:val="26"/>
        </w:rPr>
        <w:t>（三）起降场地建设要求</w:t>
      </w:r>
    </w:p>
    <w:p w14:paraId="3E9F7B25">
      <w:pPr>
        <w:spacing w:line="360" w:lineRule="auto"/>
        <w:ind w:left="480" w:hanging="480"/>
      </w:pPr>
      <w:r>
        <w:rPr>
          <w:rFonts w:ascii="宋体" w:hAnsi="宋体" w:eastAsia="宋体"/>
          <w:b w:val="0"/>
          <w:sz w:val="24"/>
        </w:rPr>
        <w:t>★1. 成交供应商须在6家医疗机构内各选址建设1处无人机起降场地，共计6处。选址须经医疗机构同意，不得影响医疗机构正常医疗秩序、消防通道及急救车辆通行。</w:t>
      </w:r>
    </w:p>
    <w:p w14:paraId="6E2B5DFE">
      <w:pPr>
        <w:spacing w:line="360" w:lineRule="auto"/>
        <w:ind w:left="480" w:hanging="480"/>
      </w:pPr>
      <w:r>
        <w:rPr>
          <w:rFonts w:ascii="宋体" w:hAnsi="宋体" w:eastAsia="宋体"/>
          <w:b w:val="0"/>
          <w:sz w:val="24"/>
        </w:rPr>
        <w:t>★2. 起降场地须满足无人机安全起降要求，配套设置物理隔离设施</w:t>
      </w:r>
      <w:r>
        <w:rPr>
          <w:rFonts w:hint="eastAsia"/>
          <w:b w:val="0"/>
          <w:sz w:val="24"/>
          <w:lang w:val="en-US" w:eastAsia="zh-CN"/>
        </w:rPr>
        <w:t>或</w:t>
      </w:r>
      <w:r>
        <w:rPr>
          <w:rFonts w:ascii="宋体" w:hAnsi="宋体" w:eastAsia="宋体"/>
          <w:b w:val="0"/>
          <w:sz w:val="24"/>
        </w:rPr>
        <w:t>安全警示标识、消防器材</w:t>
      </w:r>
      <w:r>
        <w:rPr>
          <w:rFonts w:hint="eastAsia"/>
          <w:b w:val="0"/>
          <w:sz w:val="24"/>
          <w:lang w:val="en-US" w:eastAsia="zh-CN"/>
        </w:rPr>
        <w:t>及其他必要设施</w:t>
      </w:r>
      <w:r>
        <w:rPr>
          <w:rFonts w:ascii="宋体" w:hAnsi="宋体" w:eastAsia="宋体"/>
          <w:b w:val="0"/>
          <w:sz w:val="24"/>
        </w:rPr>
        <w:t>。</w:t>
      </w:r>
    </w:p>
    <w:p w14:paraId="53674226">
      <w:pPr>
        <w:spacing w:line="360" w:lineRule="auto"/>
        <w:ind w:left="480" w:hanging="480"/>
      </w:pPr>
      <w:r>
        <w:rPr>
          <w:rFonts w:ascii="宋体" w:hAnsi="宋体" w:eastAsia="宋体"/>
          <w:b w:val="0"/>
          <w:sz w:val="24"/>
        </w:rPr>
        <w:t xml:space="preserve">★3. </w:t>
      </w:r>
      <w:r>
        <w:rPr>
          <w:rFonts w:hint="eastAsia"/>
          <w:b w:val="0"/>
          <w:sz w:val="24"/>
          <w:lang w:eastAsia="zh-CN"/>
        </w:rPr>
        <w:t>海口市人民医院海甸院区</w:t>
      </w:r>
      <w:r>
        <w:rPr>
          <w:rFonts w:ascii="宋体" w:hAnsi="宋体" w:eastAsia="宋体"/>
          <w:b w:val="0"/>
          <w:sz w:val="24"/>
        </w:rPr>
        <w:t>站点除满足无人机起降功能外，★须具备整合地面商业、便民服务、形象展示等功能的复合属性，成为兼具物流运营与公共服务、项目形象展示功能的复合型站点。供应商须在报价文件中提交该站点的功能布局方案及效果图。</w:t>
      </w:r>
    </w:p>
    <w:p w14:paraId="4E8AD450">
      <w:pPr>
        <w:spacing w:line="360" w:lineRule="auto"/>
        <w:ind w:left="480" w:hanging="480"/>
      </w:pPr>
      <w:r>
        <w:rPr>
          <w:rFonts w:ascii="宋体" w:hAnsi="宋体" w:eastAsia="宋体"/>
          <w:b w:val="0"/>
          <w:sz w:val="24"/>
        </w:rPr>
        <w:t>★4. 起降场地的建设、改造、运维及用电、网络等配套设施费用由成交供应商全额承担；建设前须向采购人报送施工方案，经书面同意后方可实施。</w:t>
      </w:r>
    </w:p>
    <w:p w14:paraId="20B4DB78">
      <w:pPr>
        <w:spacing w:before="160" w:after="80" w:line="360" w:lineRule="auto"/>
        <w:jc w:val="left"/>
      </w:pPr>
      <w:r>
        <w:rPr>
          <w:rFonts w:ascii="黑体" w:hAnsi="黑体" w:eastAsia="黑体"/>
          <w:b w:val="0"/>
          <w:sz w:val="26"/>
        </w:rPr>
        <w:t>（四）运输服务要求</w:t>
      </w:r>
    </w:p>
    <w:p w14:paraId="3BC9259A">
      <w:pPr>
        <w:spacing w:line="360" w:lineRule="auto"/>
        <w:ind w:left="480" w:hanging="480"/>
      </w:pPr>
      <w:r>
        <w:rPr>
          <w:rFonts w:ascii="宋体" w:hAnsi="宋体" w:eastAsia="宋体"/>
          <w:b w:val="0"/>
          <w:sz w:val="24"/>
        </w:rPr>
        <w:t>★1. 运输对象：医学检验样本、病理样本、血液及血液制品、急救药品、常规药品、医用耗材、小型医疗器械等医疗机构委托的物资。</w:t>
      </w:r>
    </w:p>
    <w:p w14:paraId="27849192">
      <w:pPr>
        <w:spacing w:line="360" w:lineRule="auto"/>
        <w:ind w:left="480" w:hanging="480"/>
      </w:pPr>
      <w:r>
        <w:rPr>
          <w:rFonts w:ascii="宋体" w:hAnsi="宋体" w:eastAsia="宋体"/>
          <w:b w:val="0"/>
          <w:sz w:val="24"/>
        </w:rPr>
        <w:t>★2. 时效要求：各医疗机构与</w:t>
      </w:r>
      <w:r>
        <w:rPr>
          <w:rFonts w:hint="eastAsia"/>
          <w:b w:val="0"/>
          <w:sz w:val="24"/>
          <w:lang w:eastAsia="zh-CN"/>
        </w:rPr>
        <w:t>海口市人民医院海甸院区</w:t>
      </w:r>
      <w:r>
        <w:rPr>
          <w:rFonts w:ascii="宋体" w:hAnsi="宋体" w:eastAsia="宋体"/>
          <w:b w:val="0"/>
          <w:sz w:val="24"/>
        </w:rPr>
        <w:t>之间单程飞行时间（自起飞至降落）不得超过30分钟。</w:t>
      </w:r>
    </w:p>
    <w:p w14:paraId="28C6E56B">
      <w:pPr>
        <w:spacing w:line="360" w:lineRule="auto"/>
        <w:ind w:left="480" w:hanging="480"/>
      </w:pPr>
      <w:r>
        <w:rPr>
          <w:rFonts w:ascii="宋体" w:hAnsi="宋体" w:eastAsia="宋体"/>
          <w:b w:val="0"/>
          <w:sz w:val="24"/>
        </w:rPr>
        <w:t>★3. 温控要求：须提供常规运输与快速运输两类服务模式，满足不同样本的时效与温控要求；冷链模式下全程温度须控制在约定区间内，并提供可追溯的温度记录。</w:t>
      </w:r>
    </w:p>
    <w:p w14:paraId="36B50723">
      <w:pPr>
        <w:spacing w:line="360" w:lineRule="auto"/>
        <w:ind w:left="480" w:hanging="480"/>
      </w:pPr>
      <w:r>
        <w:rPr>
          <w:rFonts w:ascii="宋体" w:hAnsi="宋体" w:eastAsia="宋体"/>
          <w:b w:val="0"/>
          <w:sz w:val="24"/>
        </w:rPr>
        <w:t>★4. 响应能力：须具备日间、夜间及法定节假日的运输响应能力</w:t>
      </w:r>
      <w:r>
        <w:rPr>
          <w:rFonts w:hint="eastAsia"/>
          <w:b w:val="0"/>
          <w:sz w:val="24"/>
          <w:lang w:eastAsia="zh-CN"/>
        </w:rPr>
        <w:t>；</w:t>
      </w:r>
      <w:r>
        <w:rPr>
          <w:rFonts w:ascii="宋体" w:hAnsi="宋体" w:eastAsia="宋体"/>
          <w:b w:val="0"/>
          <w:sz w:val="24"/>
        </w:rPr>
        <w:t>常规运输任务自接单至起飞不超过</w:t>
      </w:r>
      <w:r>
        <w:rPr>
          <w:rFonts w:hint="eastAsia"/>
          <w:b w:val="0"/>
          <w:sz w:val="24"/>
          <w:lang w:val="en-US" w:eastAsia="zh-CN"/>
        </w:rPr>
        <w:t>30</w:t>
      </w:r>
      <w:r>
        <w:rPr>
          <w:rFonts w:ascii="宋体" w:hAnsi="宋体" w:eastAsia="宋体"/>
          <w:b w:val="0"/>
          <w:sz w:val="24"/>
        </w:rPr>
        <w:t>分钟；急诊、急救等快速运输任务自接单至起飞不超过</w:t>
      </w:r>
      <w:r>
        <w:rPr>
          <w:rFonts w:hint="eastAsia"/>
          <w:b w:val="0"/>
          <w:sz w:val="24"/>
          <w:lang w:val="en-US" w:eastAsia="zh-CN"/>
        </w:rPr>
        <w:t>15</w:t>
      </w:r>
      <w:r>
        <w:rPr>
          <w:rFonts w:ascii="宋体" w:hAnsi="宋体" w:eastAsia="宋体"/>
          <w:b w:val="0"/>
          <w:sz w:val="24"/>
        </w:rPr>
        <w:t>分钟。</w:t>
      </w:r>
    </w:p>
    <w:p w14:paraId="7DED9F41">
      <w:pPr>
        <w:spacing w:line="360" w:lineRule="auto"/>
        <w:ind w:left="480" w:hanging="480"/>
      </w:pPr>
      <w:r>
        <w:rPr>
          <w:rFonts w:ascii="宋体" w:hAnsi="宋体" w:eastAsia="宋体"/>
          <w:b w:val="0"/>
          <w:sz w:val="24"/>
        </w:rPr>
        <w:t>★5. 交接管理：须建立货物交接签收制度，做到全程可追溯、责任可界定；样本破损、遗失、超温失效等造成的后果由成交供应商承担相应责任。</w:t>
      </w:r>
    </w:p>
    <w:p w14:paraId="0BA146EB">
      <w:pPr>
        <w:spacing w:line="360" w:lineRule="auto"/>
        <w:ind w:left="480" w:hanging="480"/>
      </w:pPr>
      <w:r>
        <w:rPr>
          <w:rFonts w:ascii="宋体" w:hAnsi="宋体" w:eastAsia="宋体"/>
          <w:b w:val="0"/>
          <w:sz w:val="24"/>
        </w:rPr>
        <w:t>★6. 采购人有权根据业务需要调整航班计划与运输频次，成交供应商须配合。</w:t>
      </w:r>
    </w:p>
    <w:p w14:paraId="7878028C">
      <w:pPr>
        <w:spacing w:before="160" w:after="80" w:line="360" w:lineRule="auto"/>
        <w:jc w:val="left"/>
      </w:pPr>
      <w:r>
        <w:rPr>
          <w:rFonts w:ascii="黑体" w:hAnsi="黑体" w:eastAsia="黑体"/>
          <w:b w:val="0"/>
          <w:sz w:val="26"/>
        </w:rPr>
        <w:t>（五）飞行监控与数据管理</w:t>
      </w:r>
    </w:p>
    <w:p w14:paraId="65610954">
      <w:pPr>
        <w:spacing w:line="360" w:lineRule="auto"/>
        <w:ind w:left="480" w:hanging="480"/>
      </w:pPr>
      <w:r>
        <w:rPr>
          <w:rFonts w:ascii="宋体" w:hAnsi="宋体" w:eastAsia="宋体"/>
          <w:b w:val="0"/>
          <w:sz w:val="24"/>
        </w:rPr>
        <w:t>★1. 无人机须全程自动驾驶，成交供应商须设立运行监控中心，对飞行状态、实时位置、货舱温度、电池电量等实施全过程实时监控。</w:t>
      </w:r>
    </w:p>
    <w:p w14:paraId="6967FF52">
      <w:pPr>
        <w:spacing w:line="360" w:lineRule="auto"/>
        <w:ind w:left="480" w:hanging="480"/>
      </w:pPr>
      <w:r>
        <w:rPr>
          <w:rFonts w:ascii="宋体" w:hAnsi="宋体" w:eastAsia="宋体"/>
          <w:b w:val="0"/>
          <w:sz w:val="24"/>
        </w:rPr>
        <w:t>★2. 出现偏离航线、电量不足、通信中断、温度异常等情形时，系统须自动启动应急程序（自动返航、就近备降等），并同步向采购人指定联系人</w:t>
      </w:r>
      <w:r>
        <w:rPr>
          <w:rFonts w:hint="eastAsia"/>
          <w:b w:val="0"/>
          <w:sz w:val="24"/>
          <w:lang w:val="en-US" w:eastAsia="zh-CN"/>
        </w:rPr>
        <w:t>告警</w:t>
      </w:r>
      <w:r>
        <w:rPr>
          <w:rFonts w:ascii="宋体" w:hAnsi="宋体" w:eastAsia="宋体"/>
          <w:b w:val="0"/>
          <w:sz w:val="24"/>
        </w:rPr>
        <w:t>。</w:t>
      </w:r>
    </w:p>
    <w:p w14:paraId="6A84C6FB">
      <w:pPr>
        <w:spacing w:line="360" w:lineRule="auto"/>
      </w:pPr>
      <w:r>
        <w:rPr>
          <w:rFonts w:ascii="宋体" w:hAnsi="宋体" w:eastAsia="宋体"/>
          <w:b w:val="0"/>
          <w:sz w:val="24"/>
        </w:rPr>
        <w:t>★</w:t>
      </w:r>
      <w:r>
        <w:rPr>
          <w:rFonts w:hint="eastAsia"/>
          <w:b w:val="0"/>
          <w:sz w:val="24"/>
          <w:lang w:val="en-US" w:eastAsia="zh-CN"/>
        </w:rPr>
        <w:t>3</w:t>
      </w:r>
      <w:r>
        <w:rPr>
          <w:rFonts w:ascii="宋体" w:hAnsi="宋体" w:eastAsia="宋体"/>
          <w:b w:val="0"/>
          <w:sz w:val="24"/>
        </w:rPr>
        <w:t>. 成交供应商须于每月5日前提交上月《月度飞行日志及数据总结》，内容至少包括：飞行架次、飞行里程、飞行时长运输物品类别</w:t>
      </w:r>
      <w:r>
        <w:rPr>
          <w:rFonts w:hint="eastAsia"/>
          <w:b w:val="0"/>
          <w:sz w:val="24"/>
          <w:lang w:eastAsia="zh-CN"/>
        </w:rPr>
        <w:t>、</w:t>
      </w:r>
      <w:r>
        <w:rPr>
          <w:rFonts w:ascii="宋体" w:hAnsi="宋体" w:eastAsia="宋体"/>
          <w:b w:val="0"/>
          <w:sz w:val="24"/>
        </w:rPr>
        <w:t>异常事件及处置情况</w:t>
      </w:r>
      <w:r>
        <w:rPr>
          <w:rFonts w:hint="eastAsia"/>
          <w:b w:val="0"/>
          <w:sz w:val="24"/>
          <w:lang w:val="en-US" w:eastAsia="zh-CN"/>
        </w:rPr>
        <w:t>等</w:t>
      </w:r>
      <w:r>
        <w:rPr>
          <w:rFonts w:ascii="宋体" w:hAnsi="宋体" w:eastAsia="宋体"/>
          <w:b w:val="0"/>
          <w:sz w:val="24"/>
        </w:rPr>
        <w:t>。</w:t>
      </w:r>
    </w:p>
    <w:p w14:paraId="5190694C">
      <w:pPr>
        <w:spacing w:line="360" w:lineRule="auto"/>
        <w:ind w:left="480" w:hanging="480"/>
      </w:pPr>
      <w:r>
        <w:rPr>
          <w:rFonts w:ascii="宋体" w:hAnsi="宋体" w:eastAsia="宋体"/>
          <w:b w:val="0"/>
          <w:sz w:val="24"/>
        </w:rPr>
        <w:t>★</w:t>
      </w:r>
      <w:r>
        <w:rPr>
          <w:rFonts w:hint="eastAsia"/>
          <w:b w:val="0"/>
          <w:sz w:val="24"/>
          <w:lang w:val="en-US" w:eastAsia="zh-CN"/>
        </w:rPr>
        <w:t>4</w:t>
      </w:r>
      <w:r>
        <w:rPr>
          <w:rFonts w:ascii="宋体" w:hAnsi="宋体" w:eastAsia="宋体"/>
          <w:b w:val="0"/>
          <w:sz w:val="24"/>
        </w:rPr>
        <w:t>. 飞行原始数据及监控数据保存期限不少于3年，服务期届满后须按采购人要求移交或销毁。</w:t>
      </w:r>
    </w:p>
    <w:p w14:paraId="76AC4E7F">
      <w:pPr>
        <w:spacing w:before="160" w:after="80" w:line="360" w:lineRule="auto"/>
        <w:jc w:val="left"/>
      </w:pPr>
      <w:r>
        <w:rPr>
          <w:rFonts w:ascii="黑体" w:hAnsi="黑体" w:eastAsia="黑体"/>
          <w:b w:val="0"/>
          <w:sz w:val="26"/>
        </w:rPr>
        <w:t>（六）应急与安全保障</w:t>
      </w:r>
    </w:p>
    <w:p w14:paraId="18CADEA1">
      <w:pPr>
        <w:spacing w:line="360" w:lineRule="auto"/>
        <w:ind w:left="480" w:hanging="480"/>
      </w:pPr>
      <w:r>
        <w:rPr>
          <w:rFonts w:ascii="宋体" w:hAnsi="宋体" w:eastAsia="宋体"/>
          <w:b w:val="0"/>
          <w:sz w:val="24"/>
        </w:rPr>
        <w:t>★1. 成交供应商须针对航线失效、设备故障、通信中断、恶劣天气、空中特情、货物遗失等情形编制专项应急预案，并每半年至少组织1次应急演练。</w:t>
      </w:r>
    </w:p>
    <w:p w14:paraId="3E8D3574">
      <w:pPr>
        <w:spacing w:line="360" w:lineRule="auto"/>
        <w:ind w:left="480" w:hanging="480"/>
      </w:pPr>
      <w:r>
        <w:rPr>
          <w:rFonts w:ascii="宋体" w:hAnsi="宋体" w:eastAsia="宋体"/>
          <w:b w:val="0"/>
          <w:sz w:val="24"/>
        </w:rPr>
        <w:t>★2. 成交供应商须为投入本项目的全部无人机投保第三者责任险，第三者责任险每次事故责任限额不低于人民币</w:t>
      </w:r>
      <w:r>
        <w:rPr>
          <w:rFonts w:hint="eastAsia"/>
          <w:b w:val="0"/>
          <w:sz w:val="24"/>
          <w:lang w:val="en-US" w:eastAsia="zh-CN"/>
        </w:rPr>
        <w:t>5</w:t>
      </w:r>
      <w:r>
        <w:rPr>
          <w:rFonts w:ascii="宋体" w:hAnsi="宋体" w:eastAsia="宋体"/>
          <w:b w:val="0"/>
          <w:sz w:val="24"/>
        </w:rPr>
        <w:t>0万元。保险有效期内须保持保单持续有效。</w:t>
      </w:r>
    </w:p>
    <w:p w14:paraId="415BC92F">
      <w:pPr>
        <w:spacing w:line="360" w:lineRule="auto"/>
        <w:ind w:left="480" w:hanging="480"/>
      </w:pPr>
      <w:r>
        <w:rPr>
          <w:rFonts w:ascii="宋体" w:hAnsi="宋体" w:eastAsia="宋体"/>
          <w:b w:val="0"/>
          <w:sz w:val="24"/>
        </w:rPr>
        <w:t>★3. 服务期内发生的人身伤害、财产损失等安全事故，由成交供应商依法承担相应责任，采购人不承担连带责任。</w:t>
      </w:r>
    </w:p>
    <w:p w14:paraId="5683E91D">
      <w:pPr>
        <w:spacing w:line="360" w:lineRule="auto"/>
        <w:ind w:left="480" w:hanging="480"/>
      </w:pPr>
      <w:r>
        <w:rPr>
          <w:rFonts w:ascii="宋体" w:hAnsi="宋体" w:eastAsia="宋体"/>
          <w:b w:val="0"/>
          <w:sz w:val="24"/>
        </w:rPr>
        <w:t>★4. 成交供应商须为本项目配备项目负责人1名、持有相应资质的飞手（驾驶员）不少于</w:t>
      </w:r>
      <w:r>
        <w:rPr>
          <w:rFonts w:hint="eastAsia"/>
          <w:b w:val="0"/>
          <w:sz w:val="24"/>
          <w:lang w:val="en-US" w:eastAsia="zh-CN"/>
        </w:rPr>
        <w:t>1</w:t>
      </w:r>
      <w:r>
        <w:rPr>
          <w:rFonts w:ascii="宋体" w:hAnsi="宋体" w:eastAsia="宋体"/>
          <w:b w:val="0"/>
          <w:sz w:val="24"/>
        </w:rPr>
        <w:t>名、地面保障及运维人员不少于</w:t>
      </w:r>
      <w:r>
        <w:rPr>
          <w:rFonts w:hint="eastAsia"/>
          <w:b w:val="0"/>
          <w:sz w:val="24"/>
          <w:lang w:val="en-US" w:eastAsia="zh-CN"/>
        </w:rPr>
        <w:t>1</w:t>
      </w:r>
      <w:r>
        <w:rPr>
          <w:rFonts w:ascii="宋体" w:hAnsi="宋体" w:eastAsia="宋体"/>
          <w:b w:val="0"/>
          <w:sz w:val="24"/>
        </w:rPr>
        <w:t>名，并向采购人报备人员名单。</w:t>
      </w:r>
    </w:p>
    <w:p w14:paraId="724B6028">
      <w:pPr>
        <w:spacing w:before="280" w:after="120" w:line="360" w:lineRule="auto"/>
        <w:jc w:val="left"/>
      </w:pPr>
      <w:r>
        <w:rPr>
          <w:rFonts w:ascii="黑体" w:hAnsi="黑体" w:eastAsia="黑体"/>
          <w:b w:val="0"/>
          <w:sz w:val="30"/>
        </w:rPr>
        <w:t>四、商务要求</w:t>
      </w:r>
    </w:p>
    <w:p w14:paraId="5B2B2388">
      <w:pPr>
        <w:spacing w:before="160" w:after="80" w:line="360" w:lineRule="auto"/>
        <w:jc w:val="left"/>
      </w:pPr>
      <w:r>
        <w:rPr>
          <w:rFonts w:ascii="黑体" w:hAnsi="黑体" w:eastAsia="黑体"/>
          <w:b w:val="0"/>
          <w:sz w:val="26"/>
        </w:rPr>
        <w:t>（一）投资与费用承担</w:t>
      </w:r>
    </w:p>
    <w:p w14:paraId="7E351E0C">
      <w:pPr>
        <w:spacing w:line="360" w:lineRule="auto"/>
        <w:ind w:left="480" w:hanging="480"/>
      </w:pPr>
      <w:r>
        <w:rPr>
          <w:rFonts w:ascii="宋体" w:hAnsi="宋体" w:eastAsia="宋体"/>
          <w:b w:val="0"/>
          <w:sz w:val="24"/>
        </w:rPr>
        <w:t>★1. 本项目所需无人机设备、电池及换电设施、起降场地及配套设施、运行监控平台、通信设备、保险、人员等全部软硬件投资，均由成交供应商自行投入，采购人不承担任何投资、建设及设备购置费用。</w:t>
      </w:r>
    </w:p>
    <w:p w14:paraId="090F65DB">
      <w:pPr>
        <w:spacing w:line="360" w:lineRule="auto"/>
        <w:ind w:left="480" w:hanging="480"/>
      </w:pPr>
      <w:r>
        <w:rPr>
          <w:rFonts w:ascii="宋体" w:hAnsi="宋体" w:eastAsia="宋体"/>
          <w:b w:val="0"/>
          <w:sz w:val="24"/>
        </w:rPr>
        <w:t>★2. 采购人不向成交供应商提供场地租金减免、用电补贴等其他补偿；起降场地用地由医疗机构无偿提供，成交供应商享有服务期内的使用权。</w:t>
      </w:r>
    </w:p>
    <w:p w14:paraId="646CD686">
      <w:pPr>
        <w:spacing w:before="160" w:after="80" w:line="360" w:lineRule="auto"/>
        <w:jc w:val="left"/>
      </w:pPr>
      <w:r>
        <w:rPr>
          <w:rFonts w:ascii="黑体" w:hAnsi="黑体" w:eastAsia="黑体"/>
          <w:b w:val="0"/>
          <w:sz w:val="26"/>
        </w:rPr>
        <w:t>（二）报价方式与最高限价</w:t>
      </w:r>
    </w:p>
    <w:p w14:paraId="07A09302">
      <w:pPr>
        <w:spacing w:before="0" w:after="0" w:line="360" w:lineRule="auto"/>
        <w:ind w:firstLine="480"/>
        <w:jc w:val="left"/>
      </w:pPr>
      <w:r>
        <w:rPr>
          <w:rFonts w:ascii="宋体" w:hAnsi="宋体" w:eastAsia="宋体"/>
          <w:b w:val="0"/>
          <w:sz w:val="24"/>
        </w:rPr>
        <w:t>★1. 本项目报价由两部分组成，供应商须完整填报，缺项视为无效报价：</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8"/>
        <w:gridCol w:w="4535"/>
        <w:gridCol w:w="1928"/>
      </w:tblGrid>
      <w:tr w14:paraId="5A77F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928" w:type="dxa"/>
          </w:tcPr>
          <w:p w14:paraId="7AC05643">
            <w:pPr>
              <w:spacing w:line="276" w:lineRule="auto"/>
              <w:jc w:val="center"/>
            </w:pPr>
            <w:r>
              <w:rPr>
                <w:rFonts w:ascii="黑体" w:hAnsi="黑体" w:eastAsia="黑体"/>
                <w:b w:val="0"/>
                <w:sz w:val="21"/>
              </w:rPr>
              <w:t>报价项目</w:t>
            </w:r>
          </w:p>
        </w:tc>
        <w:tc>
          <w:tcPr>
            <w:tcW w:w="4535" w:type="dxa"/>
          </w:tcPr>
          <w:p w14:paraId="4E1CA7D3">
            <w:pPr>
              <w:spacing w:line="276" w:lineRule="auto"/>
              <w:jc w:val="center"/>
            </w:pPr>
            <w:r>
              <w:rPr>
                <w:rFonts w:ascii="黑体" w:hAnsi="黑体" w:eastAsia="黑体"/>
                <w:b w:val="0"/>
                <w:sz w:val="21"/>
              </w:rPr>
              <w:t>内容说明</w:t>
            </w:r>
          </w:p>
        </w:tc>
        <w:tc>
          <w:tcPr>
            <w:tcW w:w="1928" w:type="dxa"/>
          </w:tcPr>
          <w:p w14:paraId="5FCBEF0E">
            <w:pPr>
              <w:spacing w:line="276" w:lineRule="auto"/>
              <w:jc w:val="center"/>
            </w:pPr>
            <w:r>
              <w:rPr>
                <w:rFonts w:ascii="黑体" w:hAnsi="黑体" w:eastAsia="黑体"/>
                <w:b w:val="0"/>
                <w:sz w:val="21"/>
              </w:rPr>
              <w:t>最高限价</w:t>
            </w:r>
          </w:p>
        </w:tc>
      </w:tr>
      <w:tr w14:paraId="6FEC2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8" w:type="dxa"/>
          </w:tcPr>
          <w:p w14:paraId="677CB2A9">
            <w:pPr>
              <w:spacing w:line="276" w:lineRule="auto"/>
              <w:jc w:val="center"/>
            </w:pPr>
            <w:r>
              <w:rPr>
                <w:rFonts w:ascii="宋体" w:hAnsi="宋体" w:eastAsia="宋体"/>
                <w:b w:val="0"/>
                <w:sz w:val="21"/>
              </w:rPr>
              <w:t>年度基础服务费</w:t>
            </w:r>
          </w:p>
        </w:tc>
        <w:tc>
          <w:tcPr>
            <w:tcW w:w="4535" w:type="dxa"/>
          </w:tcPr>
          <w:p w14:paraId="049F6B76">
            <w:pPr>
              <w:spacing w:line="276" w:lineRule="auto"/>
              <w:jc w:val="left"/>
            </w:pPr>
            <w:r>
              <w:rPr>
                <w:rFonts w:ascii="宋体" w:hAnsi="宋体" w:eastAsia="宋体"/>
                <w:b w:val="0"/>
                <w:sz w:val="21"/>
              </w:rPr>
              <w:t>含年度约定飞行里程20000公里（含）以内的全部运输服务费用</w:t>
            </w:r>
          </w:p>
        </w:tc>
        <w:tc>
          <w:tcPr>
            <w:tcW w:w="1928" w:type="dxa"/>
          </w:tcPr>
          <w:p w14:paraId="71B6F51F">
            <w:pPr>
              <w:spacing w:line="276" w:lineRule="auto"/>
              <w:jc w:val="left"/>
            </w:pPr>
            <w:r>
              <w:rPr>
                <w:rFonts w:ascii="宋体" w:hAnsi="宋体" w:eastAsia="宋体"/>
                <w:b w:val="0"/>
                <w:sz w:val="21"/>
              </w:rPr>
              <w:t>1</w:t>
            </w:r>
            <w:r>
              <w:rPr>
                <w:rFonts w:hint="eastAsia"/>
                <w:b w:val="0"/>
                <w:sz w:val="21"/>
                <w:lang w:val="en-US" w:eastAsia="zh-CN"/>
              </w:rPr>
              <w:t>80</w:t>
            </w:r>
            <w:r>
              <w:rPr>
                <w:rFonts w:ascii="宋体" w:hAnsi="宋体" w:eastAsia="宋体"/>
                <w:b w:val="0"/>
                <w:sz w:val="21"/>
              </w:rPr>
              <w:t>,000元／年（含税）</w:t>
            </w:r>
          </w:p>
        </w:tc>
      </w:tr>
      <w:tr w14:paraId="7990C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8" w:type="dxa"/>
          </w:tcPr>
          <w:p w14:paraId="297B81ED">
            <w:pPr>
              <w:spacing w:line="276" w:lineRule="auto"/>
              <w:jc w:val="center"/>
            </w:pPr>
            <w:r>
              <w:rPr>
                <w:rFonts w:ascii="宋体" w:hAnsi="宋体" w:eastAsia="宋体"/>
                <w:b w:val="0"/>
                <w:sz w:val="21"/>
              </w:rPr>
              <w:t>超里程单价</w:t>
            </w:r>
          </w:p>
        </w:tc>
        <w:tc>
          <w:tcPr>
            <w:tcW w:w="4535" w:type="dxa"/>
          </w:tcPr>
          <w:p w14:paraId="1CB85302">
            <w:pPr>
              <w:spacing w:line="276" w:lineRule="auto"/>
              <w:jc w:val="left"/>
            </w:pPr>
            <w:r>
              <w:rPr>
                <w:rFonts w:ascii="宋体" w:hAnsi="宋体" w:eastAsia="宋体"/>
                <w:b w:val="0"/>
                <w:sz w:val="21"/>
              </w:rPr>
              <w:t>年度累计飞行里程超出20000公里部分，按实际超出里程结算</w:t>
            </w:r>
          </w:p>
        </w:tc>
        <w:tc>
          <w:tcPr>
            <w:tcW w:w="1928" w:type="dxa"/>
          </w:tcPr>
          <w:p w14:paraId="487A0332">
            <w:pPr>
              <w:spacing w:line="276" w:lineRule="auto"/>
              <w:jc w:val="left"/>
            </w:pPr>
            <w:r>
              <w:rPr>
                <w:rFonts w:hint="eastAsia"/>
                <w:b w:val="0"/>
                <w:sz w:val="21"/>
                <w:lang w:val="en-US" w:eastAsia="zh-CN"/>
              </w:rPr>
              <w:t>10</w:t>
            </w:r>
            <w:r>
              <w:rPr>
                <w:rFonts w:ascii="宋体" w:hAnsi="宋体" w:eastAsia="宋体"/>
                <w:b w:val="0"/>
                <w:sz w:val="21"/>
              </w:rPr>
              <w:t>元／公里（含税）</w:t>
            </w:r>
          </w:p>
        </w:tc>
      </w:tr>
    </w:tbl>
    <w:p w14:paraId="320BC57A">
      <w:pPr>
        <w:spacing w:before="0" w:after="0" w:line="360" w:lineRule="auto"/>
        <w:ind w:firstLine="480"/>
        <w:jc w:val="left"/>
      </w:pPr>
    </w:p>
    <w:p w14:paraId="4C0D4857">
      <w:pPr>
        <w:spacing w:line="360" w:lineRule="auto"/>
        <w:ind w:left="480" w:hanging="480"/>
      </w:pPr>
      <w:r>
        <w:rPr>
          <w:rFonts w:ascii="宋体" w:hAnsi="宋体" w:eastAsia="宋体"/>
          <w:b w:val="0"/>
          <w:sz w:val="24"/>
        </w:rPr>
        <w:t>★2. 年度基础服务费须包含：设备折旧与使用费、航线报批费用、起降场地建设与运维费、监控平台使用费、人员费用、维护保养费、保险费、管理费、税费及完成本项目所需的全部其他费用。采购人不再另行支付其他任何费用。</w:t>
      </w:r>
    </w:p>
    <w:p w14:paraId="7B9929F4">
      <w:pPr>
        <w:spacing w:line="360" w:lineRule="auto"/>
        <w:ind w:left="480" w:hanging="480"/>
      </w:pPr>
      <w:r>
        <w:rPr>
          <w:rFonts w:ascii="宋体" w:hAnsi="宋体" w:eastAsia="宋体"/>
          <w:b w:val="0"/>
          <w:sz w:val="24"/>
        </w:rPr>
        <w:t>★3. 报价不得高于上述最高限价，否则按无效报价处理。</w:t>
      </w:r>
    </w:p>
    <w:p w14:paraId="4FAAA044">
      <w:pPr>
        <w:spacing w:line="360" w:lineRule="auto"/>
        <w:ind w:left="480" w:hanging="480"/>
      </w:pPr>
      <w:r>
        <w:rPr>
          <w:rFonts w:ascii="宋体" w:hAnsi="宋体" w:eastAsia="宋体"/>
          <w:b w:val="0"/>
          <w:sz w:val="24"/>
        </w:rPr>
        <w:t>★4. 报价货币为人民币，报价有效期不少于90日。</w:t>
      </w:r>
    </w:p>
    <w:p w14:paraId="44B4327E">
      <w:pPr>
        <w:spacing w:before="160" w:after="80" w:line="360" w:lineRule="auto"/>
        <w:jc w:val="left"/>
      </w:pPr>
      <w:r>
        <w:rPr>
          <w:rFonts w:ascii="黑体" w:hAnsi="黑体" w:eastAsia="黑体"/>
          <w:b w:val="0"/>
          <w:sz w:val="26"/>
        </w:rPr>
        <w:t>（三）结算与支付</w:t>
      </w:r>
    </w:p>
    <w:p w14:paraId="114BA7C8">
      <w:pPr>
        <w:spacing w:line="360" w:lineRule="auto"/>
        <w:ind w:left="480" w:hanging="480"/>
      </w:pPr>
      <w:r>
        <w:rPr>
          <w:rFonts w:ascii="宋体" w:hAnsi="宋体" w:eastAsia="宋体"/>
          <w:b w:val="0"/>
          <w:sz w:val="24"/>
        </w:rPr>
        <w:t>1. 年度基础服务费按</w:t>
      </w:r>
      <w:r>
        <w:rPr>
          <w:rFonts w:hint="eastAsia"/>
          <w:b w:val="0"/>
          <w:sz w:val="24"/>
          <w:lang w:val="en-US" w:eastAsia="zh-CN"/>
        </w:rPr>
        <w:t>年</w:t>
      </w:r>
      <w:r>
        <w:rPr>
          <w:rFonts w:ascii="宋体" w:hAnsi="宋体" w:eastAsia="宋体"/>
          <w:b w:val="0"/>
          <w:sz w:val="24"/>
        </w:rPr>
        <w:t>支付。</w:t>
      </w:r>
    </w:p>
    <w:p w14:paraId="1A4DD8BA">
      <w:pPr>
        <w:spacing w:line="360" w:lineRule="auto"/>
        <w:ind w:left="480" w:hanging="480"/>
      </w:pPr>
      <w:r>
        <w:rPr>
          <w:rFonts w:ascii="宋体" w:hAnsi="宋体" w:eastAsia="宋体"/>
          <w:b w:val="0"/>
          <w:sz w:val="24"/>
        </w:rPr>
        <w:t>2. 超里程费用按年度结算，以双方确认的飞行里程数据为依据，于服务年度结束后30日内一次性结清。</w:t>
      </w:r>
    </w:p>
    <w:p w14:paraId="1F3B0458">
      <w:pPr>
        <w:spacing w:line="360" w:lineRule="auto"/>
        <w:ind w:left="480" w:hanging="480"/>
      </w:pPr>
      <w:r>
        <w:rPr>
          <w:rFonts w:ascii="宋体" w:hAnsi="宋体" w:eastAsia="宋体"/>
          <w:b w:val="0"/>
          <w:sz w:val="24"/>
        </w:rPr>
        <w:t>3. 成交供应商须在每次申请付款前开具等额合法有效发票。</w:t>
      </w:r>
    </w:p>
    <w:p w14:paraId="6058DBD4">
      <w:pPr>
        <w:spacing w:before="280" w:after="120" w:line="360" w:lineRule="auto"/>
        <w:jc w:val="left"/>
      </w:pPr>
      <w:r>
        <w:rPr>
          <w:rFonts w:ascii="黑体" w:hAnsi="黑体" w:eastAsia="黑体"/>
          <w:b w:val="0"/>
          <w:sz w:val="30"/>
        </w:rPr>
        <w:t>五、报价文件内容及要求</w:t>
      </w:r>
    </w:p>
    <w:p w14:paraId="6F87EC29">
      <w:pPr>
        <w:spacing w:before="0" w:after="0" w:line="360" w:lineRule="auto"/>
        <w:ind w:firstLine="480"/>
        <w:jc w:val="left"/>
      </w:pPr>
      <w:r>
        <w:rPr>
          <w:rFonts w:ascii="宋体" w:hAnsi="宋体" w:eastAsia="宋体"/>
          <w:b w:val="0"/>
          <w:sz w:val="24"/>
        </w:rPr>
        <w:t>供应商提交的报价文件应包含下列内容，并按顺序装订、逐页加盖单位公章，一式三份（正本一份、副本二份），密封递交：</w:t>
      </w:r>
    </w:p>
    <w:p w14:paraId="03C53AD9">
      <w:pPr>
        <w:spacing w:line="360" w:lineRule="auto"/>
        <w:ind w:left="480" w:hanging="480"/>
      </w:pPr>
      <w:r>
        <w:rPr>
          <w:rFonts w:ascii="宋体" w:hAnsi="宋体" w:eastAsia="宋体"/>
          <w:b w:val="0"/>
          <w:sz w:val="24"/>
        </w:rPr>
        <w:t>1. 报价函及报价一览表（格式见附件1）；</w:t>
      </w:r>
    </w:p>
    <w:p w14:paraId="408610DB">
      <w:pPr>
        <w:spacing w:line="360" w:lineRule="auto"/>
        <w:ind w:left="480" w:hanging="480"/>
      </w:pPr>
      <w:r>
        <w:rPr>
          <w:rFonts w:ascii="宋体" w:hAnsi="宋体" w:eastAsia="宋体"/>
          <w:b w:val="0"/>
          <w:sz w:val="24"/>
        </w:rPr>
        <w:t>2. 法定代表人身份证明或授权委托书；</w:t>
      </w:r>
    </w:p>
    <w:p w14:paraId="42C98821">
      <w:pPr>
        <w:spacing w:line="360" w:lineRule="auto"/>
        <w:ind w:left="480" w:hanging="480"/>
      </w:pPr>
      <w:r>
        <w:rPr>
          <w:rFonts w:ascii="宋体" w:hAnsi="宋体" w:eastAsia="宋体"/>
          <w:b w:val="0"/>
          <w:sz w:val="24"/>
        </w:rPr>
        <w:t>3. 营业执照副本复印件；</w:t>
      </w:r>
    </w:p>
    <w:p w14:paraId="529515E5">
      <w:pPr>
        <w:spacing w:line="360" w:lineRule="auto"/>
        <w:ind w:left="480" w:hanging="480"/>
      </w:pPr>
      <w:r>
        <w:rPr>
          <w:rFonts w:ascii="宋体" w:hAnsi="宋体" w:eastAsia="宋体"/>
          <w:b w:val="0"/>
          <w:sz w:val="24"/>
        </w:rPr>
        <w:t>4. 《民用无人驾驶航空器运营合格证》复印件；</w:t>
      </w:r>
    </w:p>
    <w:p w14:paraId="630D5DDA">
      <w:pPr>
        <w:spacing w:line="360" w:lineRule="auto"/>
        <w:ind w:left="480" w:hanging="480"/>
      </w:pPr>
      <w:r>
        <w:rPr>
          <w:rFonts w:ascii="宋体" w:hAnsi="宋体" w:eastAsia="宋体"/>
          <w:b w:val="0"/>
          <w:sz w:val="24"/>
        </w:rPr>
        <w:t>5. 无人机实名登记证明、产品合格证明及安全符合性材料；</w:t>
      </w:r>
    </w:p>
    <w:p w14:paraId="0B079A58">
      <w:pPr>
        <w:spacing w:line="360" w:lineRule="auto"/>
        <w:ind w:left="480" w:hanging="480"/>
      </w:pPr>
      <w:r>
        <w:rPr>
          <w:rFonts w:ascii="宋体" w:hAnsi="宋体" w:eastAsia="宋体"/>
          <w:b w:val="0"/>
          <w:sz w:val="24"/>
        </w:rPr>
        <w:t>6. 拟投入无人机技术参数响应表（格式见附件2）及制造商技术参数证明文件、产品手册；</w:t>
      </w:r>
    </w:p>
    <w:p w14:paraId="6312AC37">
      <w:pPr>
        <w:spacing w:line="360" w:lineRule="auto"/>
        <w:ind w:left="480" w:hanging="480"/>
      </w:pPr>
      <w:r>
        <w:rPr>
          <w:rFonts w:ascii="宋体" w:hAnsi="宋体" w:eastAsia="宋体"/>
          <w:b w:val="0"/>
          <w:sz w:val="24"/>
        </w:rPr>
        <w:t>7. 同类项目业绩证明材料；</w:t>
      </w:r>
    </w:p>
    <w:p w14:paraId="32B78C0F">
      <w:pPr>
        <w:spacing w:line="360" w:lineRule="auto"/>
        <w:ind w:left="480" w:hanging="480"/>
      </w:pPr>
      <w:r>
        <w:rPr>
          <w:rFonts w:ascii="宋体" w:hAnsi="宋体" w:eastAsia="宋体"/>
          <w:b w:val="0"/>
          <w:sz w:val="24"/>
        </w:rPr>
        <w:t>8. 技术方案，须至少包括：航线网络规划方案、航线合法使用办理方案、无人机与冷链运输方案、起降场地建设方案（含</w:t>
      </w:r>
      <w:r>
        <w:rPr>
          <w:rFonts w:hint="eastAsia"/>
          <w:b w:val="0"/>
          <w:sz w:val="24"/>
          <w:lang w:eastAsia="zh-CN"/>
        </w:rPr>
        <w:t>海口市人民医院海甸院区</w:t>
      </w:r>
      <w:r>
        <w:rPr>
          <w:rFonts w:ascii="宋体" w:hAnsi="宋体" w:eastAsia="宋体"/>
          <w:b w:val="0"/>
          <w:sz w:val="24"/>
        </w:rPr>
        <w:t>复合型站点功能布局及效果图）、飞行监控与数据管理方案、应急响应预案、人员配置与运营管理方案；</w:t>
      </w:r>
    </w:p>
    <w:p w14:paraId="14BFB2ED">
      <w:pPr>
        <w:spacing w:line="360" w:lineRule="auto"/>
        <w:ind w:left="480" w:hanging="480"/>
      </w:pPr>
      <w:r>
        <w:rPr>
          <w:rFonts w:ascii="宋体" w:hAnsi="宋体" w:eastAsia="宋体"/>
          <w:b w:val="0"/>
          <w:sz w:val="24"/>
        </w:rPr>
        <w:t>9. 服务承诺书（含时效承诺、响应承诺、保密承诺、安全承诺）；</w:t>
      </w:r>
    </w:p>
    <w:p w14:paraId="5DAA18DF">
      <w:pPr>
        <w:spacing w:line="360" w:lineRule="auto"/>
        <w:ind w:left="480" w:hanging="480"/>
      </w:pPr>
      <w:r>
        <w:rPr>
          <w:rFonts w:ascii="宋体" w:hAnsi="宋体" w:eastAsia="宋体"/>
          <w:b w:val="0"/>
          <w:sz w:val="24"/>
        </w:rPr>
        <w:t>10. 无重大违法记录声明函及信用记录查询截图；</w:t>
      </w:r>
    </w:p>
    <w:p w14:paraId="6115F103">
      <w:pPr>
        <w:spacing w:line="360" w:lineRule="auto"/>
        <w:ind w:left="480" w:hanging="480"/>
      </w:pPr>
      <w:r>
        <w:rPr>
          <w:rFonts w:ascii="宋体" w:hAnsi="宋体" w:eastAsia="宋体"/>
          <w:b w:val="0"/>
          <w:sz w:val="24"/>
        </w:rPr>
        <w:t>11. 供应商认为需要提交的其他材料。</w:t>
      </w:r>
    </w:p>
    <w:p w14:paraId="53F25A15">
      <w:pPr>
        <w:spacing w:before="0" w:after="0" w:line="360" w:lineRule="auto"/>
        <w:ind w:firstLine="480"/>
        <w:jc w:val="left"/>
      </w:pPr>
      <w:r>
        <w:rPr>
          <w:rFonts w:ascii="宋体" w:hAnsi="宋体" w:eastAsia="宋体"/>
          <w:b w:val="0"/>
          <w:sz w:val="24"/>
        </w:rPr>
        <w:t>供应商须对报价文件的真实性负责。经查实存在弄虚作假情形的，取消其成交资格并依法追究相应责任。</w:t>
      </w:r>
    </w:p>
    <w:p w14:paraId="42D9B700">
      <w:pPr>
        <w:spacing w:before="280" w:after="120" w:line="360" w:lineRule="auto"/>
        <w:jc w:val="left"/>
      </w:pPr>
      <w:r>
        <w:rPr>
          <w:rFonts w:ascii="黑体" w:hAnsi="黑体" w:eastAsia="黑体"/>
          <w:b w:val="0"/>
          <w:sz w:val="30"/>
        </w:rPr>
        <w:t>六、评审与成交规则</w:t>
      </w:r>
    </w:p>
    <w:p w14:paraId="646E3DB6">
      <w:pPr>
        <w:spacing w:before="0" w:after="0" w:line="360" w:lineRule="auto"/>
        <w:ind w:firstLine="480"/>
        <w:jc w:val="left"/>
      </w:pPr>
      <w:r>
        <w:rPr>
          <w:rFonts w:ascii="宋体" w:hAnsi="宋体" w:eastAsia="宋体"/>
          <w:b w:val="0"/>
          <w:sz w:val="24"/>
        </w:rPr>
        <w:t>本项目评审分为资格性审查、符合性审查和价格评审三个阶段，前两个阶段通过后进入价格评审。</w:t>
      </w:r>
    </w:p>
    <w:p w14:paraId="2B7DDEC2">
      <w:pPr>
        <w:spacing w:before="0" w:after="0" w:line="360" w:lineRule="auto"/>
        <w:ind w:firstLine="480"/>
        <w:jc w:val="left"/>
      </w:pPr>
      <w:r>
        <w:rPr>
          <w:rFonts w:ascii="宋体" w:hAnsi="宋体" w:eastAsia="宋体"/>
          <w:b w:val="0"/>
          <w:sz w:val="24"/>
        </w:rPr>
        <w:t>1. 资格性审查：对供应商是否满足本需求第二部分资格要求进行审查，任一项不满足的，不进入后续评审。</w:t>
      </w:r>
    </w:p>
    <w:p w14:paraId="71FBA787">
      <w:pPr>
        <w:spacing w:before="0" w:after="0" w:line="360" w:lineRule="auto"/>
        <w:ind w:firstLine="480"/>
        <w:jc w:val="left"/>
      </w:pPr>
      <w:r>
        <w:rPr>
          <w:rFonts w:ascii="宋体" w:hAnsi="宋体" w:eastAsia="宋体"/>
          <w:b w:val="0"/>
          <w:sz w:val="24"/>
        </w:rPr>
        <w:t>2. 符合性审查：对报价文件是否全部响应本需求中标注“★”的实质性条款进行审查。任一条“★”条款存在不满足、负偏离、无有效证明材料或响应内容不明确的，其报价文件按无效处理。</w:t>
      </w:r>
    </w:p>
    <w:p w14:paraId="38310247">
      <w:pPr>
        <w:spacing w:before="0" w:after="0" w:line="360" w:lineRule="auto"/>
        <w:ind w:firstLine="480"/>
        <w:jc w:val="left"/>
      </w:pPr>
      <w:r>
        <w:rPr>
          <w:rFonts w:ascii="宋体" w:hAnsi="宋体" w:eastAsia="宋体"/>
          <w:b w:val="0"/>
          <w:sz w:val="24"/>
        </w:rPr>
        <w:t>3. 价格评审：在通过资格性审查和符合性审查、且报价未超过最高限价的供应商中，以“年度基础服务费”报价作为评审价，评审价最低者为第一成交候选人，次低者为第二成交候选人。超里程单价仅作符合性审查，不参与价格评审。</w:t>
      </w:r>
    </w:p>
    <w:p w14:paraId="3D3EF9FE">
      <w:pPr>
        <w:spacing w:before="0" w:after="0" w:line="360" w:lineRule="auto"/>
        <w:ind w:firstLine="480"/>
        <w:jc w:val="left"/>
      </w:pPr>
      <w:r>
        <w:rPr>
          <w:rFonts w:ascii="宋体" w:hAnsi="宋体" w:eastAsia="宋体"/>
          <w:b w:val="0"/>
          <w:sz w:val="24"/>
        </w:rPr>
        <w:t>4. 评审价相同时，以技术方案更优者为先；仍不能确定的，由采购人组织现场抽签确定。</w:t>
      </w:r>
    </w:p>
    <w:p w14:paraId="0B24CFF2">
      <w:pPr>
        <w:spacing w:before="0" w:after="0" w:line="360" w:lineRule="auto"/>
        <w:ind w:firstLine="480"/>
        <w:jc w:val="left"/>
      </w:pPr>
      <w:r>
        <w:rPr>
          <w:rFonts w:ascii="宋体" w:hAnsi="宋体" w:eastAsia="宋体"/>
          <w:b w:val="0"/>
          <w:sz w:val="24"/>
        </w:rPr>
        <w:t>5. 供应商报价明显低于其他通过审查供应商平均报价40%以上的，评审小组有权要求其在规定时间内提交成本构成说明及履约能力证明；未按时提交或说明不合理的，其报价按无效处理。</w:t>
      </w:r>
    </w:p>
    <w:p w14:paraId="0CECDFE0">
      <w:pPr>
        <w:spacing w:before="0" w:after="0" w:line="360" w:lineRule="auto"/>
        <w:ind w:firstLine="480"/>
        <w:jc w:val="left"/>
      </w:pPr>
      <w:r>
        <w:rPr>
          <w:rFonts w:ascii="宋体" w:hAnsi="宋体" w:eastAsia="宋体"/>
          <w:b w:val="0"/>
          <w:sz w:val="24"/>
        </w:rPr>
        <w:t>6. 通过审查的供应商不足3家的，采购人有权终止本次询价，重新组织采购或依法改用其他采购方式。</w:t>
      </w:r>
    </w:p>
    <w:p w14:paraId="57DCA0FC">
      <w:pPr>
        <w:spacing w:before="0" w:after="0" w:line="360" w:lineRule="auto"/>
        <w:ind w:firstLine="480"/>
        <w:jc w:val="left"/>
      </w:pPr>
      <w:r>
        <w:rPr>
          <w:rFonts w:ascii="宋体" w:hAnsi="宋体" w:eastAsia="宋体"/>
          <w:b w:val="0"/>
          <w:sz w:val="24"/>
        </w:rPr>
        <w:t>7. 采购人确定成交供应商后发出成交通知书，成交供应商应在收到成交通知书后30日内与采购人签订书面合同。</w:t>
      </w:r>
    </w:p>
    <w:p w14:paraId="6023A7AF">
      <w:pPr>
        <w:spacing w:before="280" w:after="120" w:line="360" w:lineRule="auto"/>
        <w:jc w:val="left"/>
      </w:pPr>
      <w:r>
        <w:rPr>
          <w:rFonts w:ascii="黑体" w:hAnsi="黑体" w:eastAsia="黑体"/>
          <w:b w:val="0"/>
          <w:sz w:val="30"/>
        </w:rPr>
        <w:t>七、报价文件递交</w:t>
      </w:r>
    </w:p>
    <w:p w14:paraId="302308D3">
      <w:pPr>
        <w:spacing w:line="360" w:lineRule="auto"/>
        <w:ind w:left="480" w:hanging="480"/>
      </w:pPr>
      <w:r>
        <w:rPr>
          <w:rFonts w:ascii="宋体" w:hAnsi="宋体" w:eastAsia="宋体"/>
          <w:b w:val="0"/>
          <w:sz w:val="24"/>
        </w:rPr>
        <w:t>1. 获取询价文件时间：_</w:t>
      </w:r>
      <w:r>
        <w:rPr>
          <w:rFonts w:hint="eastAsia"/>
          <w:b w:val="0"/>
          <w:sz w:val="24"/>
          <w:lang w:val="en-US" w:eastAsia="zh-CN"/>
        </w:rPr>
        <w:t>2026</w:t>
      </w:r>
      <w:r>
        <w:rPr>
          <w:rFonts w:ascii="宋体" w:hAnsi="宋体" w:eastAsia="宋体"/>
          <w:b w:val="0"/>
          <w:sz w:val="24"/>
        </w:rPr>
        <w:t>_年_</w:t>
      </w:r>
      <w:r>
        <w:rPr>
          <w:rFonts w:hint="eastAsia"/>
          <w:b w:val="0"/>
          <w:sz w:val="24"/>
          <w:lang w:val="en-US" w:eastAsia="zh-CN"/>
        </w:rPr>
        <w:t>10</w:t>
      </w:r>
      <w:r>
        <w:rPr>
          <w:rFonts w:ascii="宋体" w:hAnsi="宋体" w:eastAsia="宋体"/>
          <w:b w:val="0"/>
          <w:sz w:val="24"/>
        </w:rPr>
        <w:t>_月_</w:t>
      </w:r>
      <w:r>
        <w:rPr>
          <w:rFonts w:hint="eastAsia"/>
          <w:b w:val="0"/>
          <w:sz w:val="24"/>
          <w:lang w:val="en-US" w:eastAsia="zh-CN"/>
        </w:rPr>
        <w:t>27</w:t>
      </w:r>
      <w:r>
        <w:rPr>
          <w:rFonts w:ascii="宋体" w:hAnsi="宋体" w:eastAsia="宋体"/>
          <w:b w:val="0"/>
          <w:sz w:val="24"/>
        </w:rPr>
        <w:t>_日至_</w:t>
      </w:r>
      <w:r>
        <w:rPr>
          <w:rFonts w:hint="eastAsia"/>
          <w:b w:val="0"/>
          <w:sz w:val="24"/>
          <w:lang w:val="en-US" w:eastAsia="zh-CN"/>
        </w:rPr>
        <w:t>2026</w:t>
      </w:r>
      <w:r>
        <w:rPr>
          <w:rFonts w:ascii="宋体" w:hAnsi="宋体" w:eastAsia="宋体"/>
          <w:b w:val="0"/>
          <w:sz w:val="24"/>
        </w:rPr>
        <w:t>_年_</w:t>
      </w:r>
      <w:r>
        <w:rPr>
          <w:rFonts w:hint="eastAsia"/>
          <w:b w:val="0"/>
          <w:sz w:val="24"/>
          <w:lang w:val="en-US" w:eastAsia="zh-CN"/>
        </w:rPr>
        <w:t>11</w:t>
      </w:r>
      <w:r>
        <w:rPr>
          <w:rFonts w:ascii="宋体" w:hAnsi="宋体" w:eastAsia="宋体"/>
          <w:b w:val="0"/>
          <w:sz w:val="24"/>
        </w:rPr>
        <w:t>_月_</w:t>
      </w:r>
      <w:r>
        <w:rPr>
          <w:rFonts w:hint="eastAsia"/>
          <w:b w:val="0"/>
          <w:sz w:val="24"/>
          <w:lang w:val="en-US" w:eastAsia="zh-CN"/>
        </w:rPr>
        <w:t>1</w:t>
      </w:r>
      <w:r>
        <w:rPr>
          <w:rFonts w:ascii="宋体" w:hAnsi="宋体" w:eastAsia="宋体"/>
          <w:b w:val="0"/>
          <w:sz w:val="24"/>
        </w:rPr>
        <w:t>_日，每日9:00—12:00、14:30—17:30（北京时间，法定节假日除外）。</w:t>
      </w:r>
    </w:p>
    <w:p w14:paraId="6A3C6F0A">
      <w:pPr>
        <w:spacing w:line="360" w:lineRule="auto"/>
        <w:ind w:left="480" w:hanging="480"/>
      </w:pPr>
      <w:r>
        <w:rPr>
          <w:rFonts w:ascii="宋体" w:hAnsi="宋体" w:eastAsia="宋体"/>
          <w:b w:val="0"/>
          <w:sz w:val="24"/>
        </w:rPr>
        <w:t>2. 报价文件递交截止时间：__</w:t>
      </w:r>
      <w:r>
        <w:rPr>
          <w:rFonts w:hint="eastAsia"/>
          <w:b w:val="0"/>
          <w:sz w:val="24"/>
          <w:lang w:val="en-US" w:eastAsia="zh-CN"/>
        </w:rPr>
        <w:t>2026</w:t>
      </w:r>
      <w:r>
        <w:rPr>
          <w:rFonts w:ascii="宋体" w:hAnsi="宋体" w:eastAsia="宋体"/>
          <w:b w:val="0"/>
          <w:sz w:val="24"/>
        </w:rPr>
        <w:t>__年_</w:t>
      </w:r>
      <w:r>
        <w:rPr>
          <w:rFonts w:hint="eastAsia"/>
          <w:b w:val="0"/>
          <w:sz w:val="24"/>
          <w:lang w:val="en-US" w:eastAsia="zh-CN"/>
        </w:rPr>
        <w:t>11</w:t>
      </w:r>
      <w:r>
        <w:rPr>
          <w:rFonts w:ascii="宋体" w:hAnsi="宋体" w:eastAsia="宋体"/>
          <w:b w:val="0"/>
          <w:sz w:val="24"/>
        </w:rPr>
        <w:t>_月_</w:t>
      </w:r>
      <w:r>
        <w:rPr>
          <w:rFonts w:hint="eastAsia"/>
          <w:b w:val="0"/>
          <w:sz w:val="24"/>
          <w:lang w:val="en-US" w:eastAsia="zh-CN"/>
        </w:rPr>
        <w:t>2</w:t>
      </w:r>
      <w:r>
        <w:rPr>
          <w:rFonts w:ascii="宋体" w:hAnsi="宋体" w:eastAsia="宋体"/>
          <w:b w:val="0"/>
          <w:sz w:val="24"/>
        </w:rPr>
        <w:t>_日_</w:t>
      </w:r>
      <w:r>
        <w:rPr>
          <w:rFonts w:hint="eastAsia"/>
          <w:b w:val="0"/>
          <w:sz w:val="24"/>
          <w:lang w:val="en-US" w:eastAsia="zh-CN"/>
        </w:rPr>
        <w:t>9</w:t>
      </w:r>
      <w:r>
        <w:rPr>
          <w:rFonts w:ascii="宋体" w:hAnsi="宋体" w:eastAsia="宋体"/>
          <w:b w:val="0"/>
          <w:sz w:val="24"/>
        </w:rPr>
        <w:t>_时_</w:t>
      </w:r>
      <w:r>
        <w:rPr>
          <w:rFonts w:hint="eastAsia"/>
          <w:b w:val="0"/>
          <w:sz w:val="24"/>
          <w:lang w:val="en-US" w:eastAsia="zh-CN"/>
        </w:rPr>
        <w:t>0</w:t>
      </w:r>
      <w:r>
        <w:rPr>
          <w:rFonts w:ascii="宋体" w:hAnsi="宋体" w:eastAsia="宋体"/>
          <w:b w:val="0"/>
          <w:sz w:val="24"/>
        </w:rPr>
        <w:t>_分（北京时间）。</w:t>
      </w:r>
    </w:p>
    <w:p w14:paraId="540D6B14">
      <w:pPr>
        <w:spacing w:line="360" w:lineRule="auto"/>
        <w:ind w:left="480" w:hanging="480"/>
      </w:pPr>
      <w:r>
        <w:rPr>
          <w:rFonts w:ascii="宋体" w:hAnsi="宋体" w:eastAsia="宋体"/>
          <w:b w:val="0"/>
          <w:sz w:val="24"/>
        </w:rPr>
        <w:t>3. 递交地点：</w:t>
      </w:r>
      <w:r>
        <w:rPr>
          <w:rFonts w:hint="eastAsia"/>
          <w:b w:val="0"/>
          <w:sz w:val="24"/>
          <w:lang w:eastAsia="zh-CN"/>
        </w:rPr>
        <w:t>海口市人民医院</w:t>
      </w:r>
      <w:r>
        <w:rPr>
          <w:rFonts w:hint="eastAsia"/>
          <w:b w:val="0"/>
          <w:sz w:val="24"/>
          <w:lang w:val="en-US" w:eastAsia="zh-CN"/>
        </w:rPr>
        <w:t>慢病中心11A1206</w:t>
      </w:r>
      <w:r>
        <w:rPr>
          <w:rFonts w:ascii="宋体" w:hAnsi="宋体" w:eastAsia="宋体"/>
          <w:b w:val="0"/>
          <w:sz w:val="24"/>
        </w:rPr>
        <w:t>。</w:t>
      </w:r>
    </w:p>
    <w:p w14:paraId="1917BF16">
      <w:pPr>
        <w:spacing w:line="360" w:lineRule="auto"/>
        <w:ind w:left="480" w:hanging="480"/>
      </w:pPr>
      <w:r>
        <w:rPr>
          <w:rFonts w:ascii="宋体" w:hAnsi="宋体" w:eastAsia="宋体"/>
          <w:b w:val="0"/>
          <w:sz w:val="24"/>
        </w:rPr>
        <w:t>4. 递交方式：现场递交或邮寄送达。邮寄以采购人实际签收时间为准，逾期送达或未送达指定地点的报价文件不予受理。</w:t>
      </w:r>
    </w:p>
    <w:p w14:paraId="7618C31E">
      <w:pPr>
        <w:spacing w:line="360" w:lineRule="auto"/>
        <w:ind w:left="480" w:hanging="480"/>
      </w:pPr>
      <w:r>
        <w:rPr>
          <w:rFonts w:ascii="宋体" w:hAnsi="宋体" w:eastAsia="宋体"/>
          <w:b w:val="0"/>
          <w:sz w:val="24"/>
        </w:rPr>
        <w:t>5. 报价文件递交后不予退还。供应商在递交截止前可书面撤回或修改报价文件。</w:t>
      </w:r>
    </w:p>
    <w:p w14:paraId="5287BC40">
      <w:pPr>
        <w:spacing w:line="360" w:lineRule="auto"/>
        <w:ind w:left="480" w:hanging="480"/>
      </w:pPr>
      <w:r>
        <w:rPr>
          <w:rFonts w:ascii="宋体" w:hAnsi="宋体" w:eastAsia="宋体"/>
          <w:b w:val="0"/>
          <w:sz w:val="24"/>
        </w:rPr>
        <w:t>6. 本项目不收取询价文件工本费及报价保证金。</w:t>
      </w:r>
    </w:p>
    <w:p w14:paraId="175CBCA4">
      <w:pPr>
        <w:spacing w:before="280" w:after="120" w:line="360" w:lineRule="auto"/>
        <w:jc w:val="left"/>
      </w:pPr>
      <w:r>
        <w:rPr>
          <w:rFonts w:ascii="黑体" w:hAnsi="黑体" w:eastAsia="黑体"/>
          <w:b w:val="0"/>
          <w:sz w:val="30"/>
        </w:rPr>
        <w:t>八、联系方式</w:t>
      </w:r>
    </w:p>
    <w:p w14:paraId="1A083DF5">
      <w:pPr>
        <w:spacing w:before="0" w:after="0" w:line="360" w:lineRule="auto"/>
        <w:ind w:firstLine="480"/>
        <w:jc w:val="left"/>
        <w:rPr>
          <w:rFonts w:hint="eastAsia" w:eastAsia="宋体"/>
          <w:lang w:eastAsia="zh-CN"/>
        </w:rPr>
      </w:pPr>
      <w:r>
        <w:rPr>
          <w:rFonts w:ascii="宋体" w:hAnsi="宋体" w:eastAsia="宋体"/>
          <w:b w:val="0"/>
          <w:sz w:val="24"/>
        </w:rPr>
        <w:t>采购人：</w:t>
      </w:r>
      <w:r>
        <w:rPr>
          <w:rFonts w:hint="eastAsia"/>
          <w:b w:val="0"/>
          <w:sz w:val="24"/>
          <w:lang w:eastAsia="zh-CN"/>
        </w:rPr>
        <w:t>海口市人民医院</w:t>
      </w:r>
    </w:p>
    <w:p w14:paraId="7A235C8F">
      <w:pPr>
        <w:spacing w:before="0" w:after="0" w:line="360" w:lineRule="auto"/>
        <w:ind w:firstLine="480"/>
        <w:jc w:val="left"/>
      </w:pPr>
      <w:r>
        <w:rPr>
          <w:rFonts w:ascii="宋体" w:hAnsi="宋体" w:eastAsia="宋体"/>
          <w:b w:val="0"/>
          <w:sz w:val="24"/>
        </w:rPr>
        <w:t>地  址：</w:t>
      </w:r>
      <w:r>
        <w:rPr>
          <w:rFonts w:hint="eastAsia"/>
          <w:b w:val="0"/>
          <w:sz w:val="24"/>
          <w:lang w:val="en-US" w:eastAsia="zh-CN"/>
        </w:rPr>
        <w:t>海口市人民医院慢病中心1206</w:t>
      </w:r>
    </w:p>
    <w:p w14:paraId="6205EE1C">
      <w:pPr>
        <w:spacing w:before="0" w:after="0" w:line="360" w:lineRule="auto"/>
        <w:ind w:firstLine="480"/>
        <w:jc w:val="left"/>
        <w:rPr>
          <w:rFonts w:hint="default" w:eastAsia="宋体"/>
          <w:lang w:val="en-US" w:eastAsia="zh-CN"/>
        </w:rPr>
      </w:pPr>
      <w:r>
        <w:rPr>
          <w:rFonts w:ascii="宋体" w:hAnsi="宋体" w:eastAsia="宋体"/>
          <w:b w:val="0"/>
          <w:sz w:val="24"/>
        </w:rPr>
        <w:t>联系人：</w:t>
      </w:r>
      <w:r>
        <w:rPr>
          <w:rFonts w:hint="eastAsia"/>
          <w:b w:val="0"/>
          <w:sz w:val="24"/>
          <w:lang w:val="en-US" w:eastAsia="zh-CN"/>
        </w:rPr>
        <w:t>羊女士</w:t>
      </w:r>
      <w:bookmarkStart w:id="0" w:name="_GoBack"/>
      <w:bookmarkEnd w:id="0"/>
      <w:r>
        <w:rPr>
          <w:rFonts w:ascii="宋体" w:hAnsi="宋体" w:eastAsia="宋体"/>
          <w:b w:val="0"/>
          <w:sz w:val="24"/>
        </w:rPr>
        <w:t xml:space="preserve">    联系电话：</w:t>
      </w:r>
      <w:r>
        <w:rPr>
          <w:rFonts w:hint="eastAsia"/>
          <w:b w:val="0"/>
          <w:sz w:val="24"/>
          <w:lang w:val="en-US" w:eastAsia="zh-CN"/>
        </w:rPr>
        <w:t>66189500</w:t>
      </w:r>
    </w:p>
    <w:p w14:paraId="73C0BB83">
      <w:pPr>
        <w:spacing w:before="0" w:after="0" w:line="360" w:lineRule="auto"/>
        <w:ind w:firstLine="480"/>
        <w:jc w:val="left"/>
        <w:rPr>
          <w:rFonts w:hint="default" w:eastAsia="宋体"/>
          <w:lang w:val="en-US" w:eastAsia="zh-CN"/>
        </w:rPr>
      </w:pPr>
      <w:r>
        <w:rPr>
          <w:rFonts w:ascii="宋体" w:hAnsi="宋体" w:eastAsia="宋体"/>
          <w:b w:val="0"/>
          <w:sz w:val="24"/>
        </w:rPr>
        <w:t>监督电话：</w:t>
      </w:r>
      <w:r>
        <w:rPr>
          <w:rFonts w:hint="eastAsia"/>
          <w:b w:val="0"/>
          <w:sz w:val="24"/>
          <w:lang w:val="en-US" w:eastAsia="zh-CN"/>
        </w:rPr>
        <w:t>66189509</w:t>
      </w:r>
    </w:p>
    <w:p w14:paraId="1D4AB931">
      <w:pPr>
        <w:spacing w:before="0" w:after="0" w:line="360" w:lineRule="auto"/>
        <w:ind w:firstLine="480"/>
        <w:jc w:val="left"/>
      </w:pPr>
    </w:p>
    <w:p w14:paraId="6A9F709E">
      <w:pPr>
        <w:spacing w:after="240" w:line="336" w:lineRule="auto"/>
        <w:ind w:left="240"/>
      </w:pPr>
      <w:r>
        <w:rPr>
          <w:rFonts w:ascii="黑体" w:hAnsi="黑体" w:eastAsia="黑体"/>
          <w:b w:val="0"/>
          <w:color w:val="C00000"/>
          <w:sz w:val="22"/>
        </w:rPr>
        <w:t>重要提示：本需求中标注“★”的条款为实质性响应条款，属于不可偏离条款。供应商报价文件对任一条“★”条款存在不满足、负偏离或无有效证明材料的，其报价文件按无效报价处理。</w:t>
      </w:r>
    </w:p>
    <w:p w14:paraId="2AF8834F">
      <w:r>
        <w:br w:type="page"/>
      </w:r>
    </w:p>
    <w:p w14:paraId="07F9025A">
      <w:pPr>
        <w:spacing w:before="280" w:after="120" w:line="360" w:lineRule="auto"/>
        <w:jc w:val="left"/>
      </w:pPr>
      <w:r>
        <w:rPr>
          <w:rFonts w:ascii="黑体" w:hAnsi="黑体" w:eastAsia="黑体"/>
          <w:b w:val="0"/>
          <w:sz w:val="30"/>
        </w:rPr>
        <w:t>附件1  报价一览表</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4"/>
        <w:gridCol w:w="1814"/>
        <w:gridCol w:w="3742"/>
        <w:gridCol w:w="2041"/>
      </w:tblGrid>
      <w:tr w14:paraId="1A975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tcPr>
          <w:p w14:paraId="6006090B">
            <w:pPr>
              <w:spacing w:line="276" w:lineRule="auto"/>
              <w:jc w:val="center"/>
            </w:pPr>
            <w:r>
              <w:rPr>
                <w:rFonts w:ascii="黑体" w:hAnsi="黑体" w:eastAsia="黑体"/>
                <w:b w:val="0"/>
                <w:sz w:val="21"/>
              </w:rPr>
              <w:t>序号</w:t>
            </w:r>
          </w:p>
        </w:tc>
        <w:tc>
          <w:tcPr>
            <w:tcW w:w="1814" w:type="dxa"/>
          </w:tcPr>
          <w:p w14:paraId="4BB14302">
            <w:pPr>
              <w:spacing w:line="276" w:lineRule="auto"/>
              <w:jc w:val="center"/>
            </w:pPr>
            <w:r>
              <w:rPr>
                <w:rFonts w:ascii="黑体" w:hAnsi="黑体" w:eastAsia="黑体"/>
                <w:b w:val="0"/>
                <w:sz w:val="21"/>
              </w:rPr>
              <w:t>报价项目</w:t>
            </w:r>
          </w:p>
        </w:tc>
        <w:tc>
          <w:tcPr>
            <w:tcW w:w="3742" w:type="dxa"/>
          </w:tcPr>
          <w:p w14:paraId="048675CE">
            <w:pPr>
              <w:spacing w:line="276" w:lineRule="auto"/>
              <w:jc w:val="center"/>
            </w:pPr>
            <w:r>
              <w:rPr>
                <w:rFonts w:ascii="黑体" w:hAnsi="黑体" w:eastAsia="黑体"/>
                <w:b w:val="0"/>
                <w:sz w:val="21"/>
              </w:rPr>
              <w:t>内容说明</w:t>
            </w:r>
          </w:p>
        </w:tc>
        <w:tc>
          <w:tcPr>
            <w:tcW w:w="2041" w:type="dxa"/>
          </w:tcPr>
          <w:p w14:paraId="7FF2FCE4">
            <w:pPr>
              <w:spacing w:line="276" w:lineRule="auto"/>
              <w:jc w:val="center"/>
            </w:pPr>
            <w:r>
              <w:rPr>
                <w:rFonts w:ascii="黑体" w:hAnsi="黑体" w:eastAsia="黑体"/>
                <w:b w:val="0"/>
                <w:sz w:val="21"/>
              </w:rPr>
              <w:t>报价（含税）</w:t>
            </w:r>
          </w:p>
        </w:tc>
      </w:tr>
      <w:tr w14:paraId="53BB1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tcPr>
          <w:p w14:paraId="7630D5DB">
            <w:pPr>
              <w:spacing w:line="276" w:lineRule="auto"/>
              <w:jc w:val="center"/>
            </w:pPr>
            <w:r>
              <w:rPr>
                <w:rFonts w:ascii="宋体" w:hAnsi="宋体" w:eastAsia="宋体"/>
                <w:b w:val="0"/>
                <w:sz w:val="21"/>
              </w:rPr>
              <w:t>1</w:t>
            </w:r>
          </w:p>
        </w:tc>
        <w:tc>
          <w:tcPr>
            <w:tcW w:w="1814" w:type="dxa"/>
          </w:tcPr>
          <w:p w14:paraId="19CC63FF">
            <w:pPr>
              <w:spacing w:line="276" w:lineRule="auto"/>
              <w:jc w:val="left"/>
            </w:pPr>
            <w:r>
              <w:rPr>
                <w:rFonts w:ascii="宋体" w:hAnsi="宋体" w:eastAsia="宋体"/>
                <w:b w:val="0"/>
                <w:sz w:val="21"/>
              </w:rPr>
              <w:t>年度基础服务费</w:t>
            </w:r>
          </w:p>
        </w:tc>
        <w:tc>
          <w:tcPr>
            <w:tcW w:w="3742" w:type="dxa"/>
          </w:tcPr>
          <w:p w14:paraId="4FDEC76E">
            <w:pPr>
              <w:spacing w:line="276" w:lineRule="auto"/>
              <w:jc w:val="left"/>
            </w:pPr>
            <w:r>
              <w:rPr>
                <w:rFonts w:ascii="宋体" w:hAnsi="宋体" w:eastAsia="宋体"/>
                <w:b w:val="0"/>
                <w:sz w:val="21"/>
              </w:rPr>
              <w:t>含年度约定飞行里程20000公里（含）以内全部服务费用</w:t>
            </w:r>
          </w:p>
        </w:tc>
        <w:tc>
          <w:tcPr>
            <w:tcW w:w="2041" w:type="dxa"/>
          </w:tcPr>
          <w:p w14:paraId="6A0C1BD0">
            <w:pPr>
              <w:spacing w:line="276" w:lineRule="auto"/>
              <w:jc w:val="left"/>
            </w:pPr>
            <w:r>
              <w:rPr>
                <w:rFonts w:ascii="宋体" w:hAnsi="宋体" w:eastAsia="宋体"/>
                <w:b w:val="0"/>
                <w:sz w:val="21"/>
              </w:rPr>
              <w:t>人民币________元／年</w:t>
            </w:r>
          </w:p>
        </w:tc>
      </w:tr>
      <w:tr w14:paraId="6A4FC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tcPr>
          <w:p w14:paraId="3A24A881">
            <w:pPr>
              <w:spacing w:line="276" w:lineRule="auto"/>
              <w:jc w:val="center"/>
            </w:pPr>
            <w:r>
              <w:rPr>
                <w:rFonts w:ascii="宋体" w:hAnsi="宋体" w:eastAsia="宋体"/>
                <w:b w:val="0"/>
                <w:sz w:val="21"/>
              </w:rPr>
              <w:t>2</w:t>
            </w:r>
          </w:p>
        </w:tc>
        <w:tc>
          <w:tcPr>
            <w:tcW w:w="1814" w:type="dxa"/>
          </w:tcPr>
          <w:p w14:paraId="6E6C4A07">
            <w:pPr>
              <w:spacing w:line="276" w:lineRule="auto"/>
              <w:jc w:val="left"/>
            </w:pPr>
            <w:r>
              <w:rPr>
                <w:rFonts w:ascii="宋体" w:hAnsi="宋体" w:eastAsia="宋体"/>
                <w:b w:val="0"/>
                <w:sz w:val="21"/>
              </w:rPr>
              <w:t>超里程单价</w:t>
            </w:r>
          </w:p>
        </w:tc>
        <w:tc>
          <w:tcPr>
            <w:tcW w:w="3742" w:type="dxa"/>
          </w:tcPr>
          <w:p w14:paraId="480A5581">
            <w:pPr>
              <w:spacing w:line="276" w:lineRule="auto"/>
              <w:jc w:val="left"/>
            </w:pPr>
            <w:r>
              <w:rPr>
                <w:rFonts w:ascii="宋体" w:hAnsi="宋体" w:eastAsia="宋体"/>
                <w:b w:val="0"/>
                <w:sz w:val="21"/>
              </w:rPr>
              <w:t>年度累计飞行里程超出20000公里部分按实结算</w:t>
            </w:r>
          </w:p>
        </w:tc>
        <w:tc>
          <w:tcPr>
            <w:tcW w:w="2041" w:type="dxa"/>
          </w:tcPr>
          <w:p w14:paraId="342D6389">
            <w:pPr>
              <w:spacing w:line="276" w:lineRule="auto"/>
              <w:jc w:val="left"/>
            </w:pPr>
            <w:r>
              <w:rPr>
                <w:rFonts w:ascii="宋体" w:hAnsi="宋体" w:eastAsia="宋体"/>
                <w:b w:val="0"/>
                <w:sz w:val="21"/>
              </w:rPr>
              <w:t>人民币________元／公里</w:t>
            </w:r>
          </w:p>
        </w:tc>
      </w:tr>
      <w:tr w14:paraId="52B2A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tcPr>
          <w:p w14:paraId="40ADCE01">
            <w:pPr>
              <w:spacing w:line="276" w:lineRule="auto"/>
              <w:jc w:val="center"/>
            </w:pPr>
            <w:r>
              <w:rPr>
                <w:rFonts w:ascii="宋体" w:hAnsi="宋体" w:eastAsia="宋体"/>
                <w:b w:val="0"/>
                <w:sz w:val="21"/>
              </w:rPr>
              <w:t>3</w:t>
            </w:r>
          </w:p>
        </w:tc>
        <w:tc>
          <w:tcPr>
            <w:tcW w:w="1814" w:type="dxa"/>
          </w:tcPr>
          <w:p w14:paraId="13A68D5A">
            <w:pPr>
              <w:spacing w:line="276" w:lineRule="auto"/>
              <w:jc w:val="left"/>
            </w:pPr>
            <w:r>
              <w:rPr>
                <w:rFonts w:ascii="宋体" w:hAnsi="宋体" w:eastAsia="宋体"/>
                <w:b w:val="0"/>
                <w:sz w:val="21"/>
              </w:rPr>
              <w:t>服务期限响应</w:t>
            </w:r>
          </w:p>
        </w:tc>
        <w:tc>
          <w:tcPr>
            <w:tcW w:w="3742" w:type="dxa"/>
          </w:tcPr>
          <w:p w14:paraId="2F7DCBBA">
            <w:pPr>
              <w:spacing w:line="276" w:lineRule="auto"/>
              <w:jc w:val="left"/>
            </w:pPr>
            <w:r>
              <w:rPr>
                <w:rFonts w:ascii="宋体" w:hAnsi="宋体" w:eastAsia="宋体"/>
                <w:b w:val="0"/>
                <w:sz w:val="21"/>
              </w:rPr>
              <w:t>服务期</w:t>
            </w:r>
            <w:r>
              <w:rPr>
                <w:rFonts w:hint="eastAsia"/>
                <w:b w:val="0"/>
                <w:sz w:val="21"/>
                <w:lang w:val="en-US" w:eastAsia="zh-CN"/>
              </w:rPr>
              <w:t>3</w:t>
            </w:r>
            <w:r>
              <w:rPr>
                <w:rFonts w:ascii="宋体" w:hAnsi="宋体" w:eastAsia="宋体"/>
                <w:b w:val="0"/>
                <w:sz w:val="21"/>
              </w:rPr>
              <w:t>年，考核合格可续签至累计不超过</w:t>
            </w:r>
            <w:r>
              <w:rPr>
                <w:rFonts w:hint="eastAsia"/>
                <w:b w:val="0"/>
                <w:sz w:val="21"/>
                <w:lang w:val="en-US" w:eastAsia="zh-CN"/>
              </w:rPr>
              <w:t>9</w:t>
            </w:r>
            <w:r>
              <w:rPr>
                <w:rFonts w:ascii="宋体" w:hAnsi="宋体" w:eastAsia="宋体"/>
                <w:b w:val="0"/>
                <w:sz w:val="21"/>
              </w:rPr>
              <w:t>年</w:t>
            </w:r>
          </w:p>
        </w:tc>
        <w:tc>
          <w:tcPr>
            <w:tcW w:w="2041" w:type="dxa"/>
          </w:tcPr>
          <w:p w14:paraId="7E768087">
            <w:pPr>
              <w:spacing w:line="276" w:lineRule="auto"/>
              <w:jc w:val="left"/>
            </w:pPr>
            <w:r>
              <w:rPr>
                <w:rFonts w:ascii="宋体" w:hAnsi="宋体" w:eastAsia="宋体"/>
                <w:b w:val="0"/>
                <w:sz w:val="21"/>
              </w:rPr>
              <w:t>□响应  □不响应</w:t>
            </w:r>
          </w:p>
        </w:tc>
      </w:tr>
      <w:tr w14:paraId="6F9DD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tcPr>
          <w:p w14:paraId="63B146AD">
            <w:pPr>
              <w:spacing w:line="276" w:lineRule="auto"/>
              <w:jc w:val="center"/>
            </w:pPr>
            <w:r>
              <w:rPr>
                <w:rFonts w:ascii="宋体" w:hAnsi="宋体" w:eastAsia="宋体"/>
                <w:b w:val="0"/>
                <w:sz w:val="21"/>
              </w:rPr>
              <w:t>4</w:t>
            </w:r>
          </w:p>
        </w:tc>
        <w:tc>
          <w:tcPr>
            <w:tcW w:w="1814" w:type="dxa"/>
          </w:tcPr>
          <w:p w14:paraId="6DF89E87">
            <w:pPr>
              <w:spacing w:line="276" w:lineRule="auto"/>
              <w:jc w:val="left"/>
            </w:pPr>
            <w:r>
              <w:rPr>
                <w:rFonts w:ascii="宋体" w:hAnsi="宋体" w:eastAsia="宋体"/>
                <w:b w:val="0"/>
                <w:sz w:val="21"/>
              </w:rPr>
              <w:t>质保与运维承诺</w:t>
            </w:r>
          </w:p>
        </w:tc>
        <w:tc>
          <w:tcPr>
            <w:tcW w:w="3742" w:type="dxa"/>
          </w:tcPr>
          <w:p w14:paraId="4F88621E">
            <w:pPr>
              <w:spacing w:line="276" w:lineRule="auto"/>
              <w:jc w:val="left"/>
            </w:pPr>
            <w:r>
              <w:rPr>
                <w:rFonts w:ascii="宋体" w:hAnsi="宋体" w:eastAsia="宋体"/>
                <w:b w:val="0"/>
                <w:sz w:val="21"/>
              </w:rPr>
              <w:t>设备、场地、平台全周期自行维护</w:t>
            </w:r>
          </w:p>
        </w:tc>
        <w:tc>
          <w:tcPr>
            <w:tcW w:w="2041" w:type="dxa"/>
          </w:tcPr>
          <w:p w14:paraId="0C92883F">
            <w:pPr>
              <w:spacing w:line="276" w:lineRule="auto"/>
              <w:jc w:val="left"/>
            </w:pPr>
            <w:r>
              <w:rPr>
                <w:rFonts w:ascii="宋体" w:hAnsi="宋体" w:eastAsia="宋体"/>
                <w:b w:val="0"/>
                <w:sz w:val="21"/>
              </w:rPr>
              <w:t>□响应  □不响应</w:t>
            </w:r>
          </w:p>
        </w:tc>
      </w:tr>
    </w:tbl>
    <w:p w14:paraId="042DBEF1">
      <w:pPr>
        <w:spacing w:before="0" w:after="0" w:line="360" w:lineRule="auto"/>
        <w:ind w:firstLine="480"/>
        <w:jc w:val="left"/>
      </w:pPr>
    </w:p>
    <w:p w14:paraId="08BAAE9D">
      <w:pPr>
        <w:spacing w:before="0" w:after="0" w:line="360" w:lineRule="auto"/>
        <w:ind w:firstLine="480"/>
        <w:jc w:val="left"/>
      </w:pPr>
      <w:r>
        <w:rPr>
          <w:rFonts w:ascii="宋体" w:hAnsi="宋体" w:eastAsia="宋体"/>
          <w:b w:val="0"/>
          <w:sz w:val="24"/>
        </w:rPr>
        <w:t>供应商（盖章）：____________    法定代表人或授权代表（签字）：____________</w:t>
      </w:r>
    </w:p>
    <w:p w14:paraId="61056604">
      <w:pPr>
        <w:spacing w:before="0" w:after="0" w:line="360" w:lineRule="auto"/>
        <w:ind w:firstLine="480"/>
        <w:jc w:val="left"/>
      </w:pPr>
      <w:r>
        <w:rPr>
          <w:rFonts w:ascii="宋体" w:hAnsi="宋体" w:eastAsia="宋体"/>
          <w:b w:val="0"/>
          <w:sz w:val="24"/>
        </w:rPr>
        <w:t>日  期：____年__月__日</w:t>
      </w:r>
    </w:p>
    <w:p w14:paraId="2EBDBB5C">
      <w:pPr>
        <w:spacing w:before="0" w:after="0" w:line="360" w:lineRule="auto"/>
        <w:ind w:firstLine="480"/>
        <w:jc w:val="left"/>
      </w:pPr>
    </w:p>
    <w:p w14:paraId="1FBD4BD4">
      <w:pPr>
        <w:spacing w:before="280" w:after="120" w:line="360" w:lineRule="auto"/>
        <w:jc w:val="left"/>
      </w:pPr>
      <w:r>
        <w:rPr>
          <w:rFonts w:ascii="黑体" w:hAnsi="黑体" w:eastAsia="黑体"/>
          <w:b w:val="0"/>
          <w:sz w:val="30"/>
        </w:rPr>
        <w:t>附件2  拟投入无人机技术参数响应表</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1361"/>
        <w:gridCol w:w="2268"/>
        <w:gridCol w:w="1701"/>
        <w:gridCol w:w="1134"/>
        <w:gridCol w:w="1020"/>
      </w:tblGrid>
      <w:tr w14:paraId="2032B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tcPr>
          <w:p w14:paraId="5620B6E4">
            <w:pPr>
              <w:spacing w:line="276" w:lineRule="auto"/>
              <w:jc w:val="center"/>
            </w:pPr>
            <w:r>
              <w:rPr>
                <w:rFonts w:ascii="黑体" w:hAnsi="黑体" w:eastAsia="黑体"/>
                <w:b w:val="0"/>
                <w:sz w:val="21"/>
              </w:rPr>
              <w:t>序号</w:t>
            </w:r>
          </w:p>
        </w:tc>
        <w:tc>
          <w:tcPr>
            <w:tcW w:w="1361" w:type="dxa"/>
          </w:tcPr>
          <w:p w14:paraId="1A47EFDB">
            <w:pPr>
              <w:spacing w:line="276" w:lineRule="auto"/>
              <w:jc w:val="center"/>
            </w:pPr>
            <w:r>
              <w:rPr>
                <w:rFonts w:ascii="黑体" w:hAnsi="黑体" w:eastAsia="黑体"/>
                <w:b w:val="0"/>
                <w:sz w:val="21"/>
              </w:rPr>
              <w:t>性能指标</w:t>
            </w:r>
          </w:p>
        </w:tc>
        <w:tc>
          <w:tcPr>
            <w:tcW w:w="2268" w:type="dxa"/>
          </w:tcPr>
          <w:p w14:paraId="56288F32">
            <w:pPr>
              <w:spacing w:line="276" w:lineRule="auto"/>
              <w:jc w:val="center"/>
            </w:pPr>
            <w:r>
              <w:rPr>
                <w:rFonts w:ascii="黑体" w:hAnsi="黑体" w:eastAsia="黑体"/>
                <w:b w:val="0"/>
                <w:sz w:val="21"/>
              </w:rPr>
              <w:t>需求要求</w:t>
            </w:r>
          </w:p>
        </w:tc>
        <w:tc>
          <w:tcPr>
            <w:tcW w:w="1701" w:type="dxa"/>
          </w:tcPr>
          <w:p w14:paraId="46924C9E">
            <w:pPr>
              <w:spacing w:line="276" w:lineRule="auto"/>
              <w:jc w:val="center"/>
            </w:pPr>
            <w:r>
              <w:rPr>
                <w:rFonts w:ascii="黑体" w:hAnsi="黑体" w:eastAsia="黑体"/>
                <w:b w:val="0"/>
                <w:sz w:val="21"/>
              </w:rPr>
              <w:t>投标机型响应值</w:t>
            </w:r>
          </w:p>
        </w:tc>
        <w:tc>
          <w:tcPr>
            <w:tcW w:w="1134" w:type="dxa"/>
          </w:tcPr>
          <w:p w14:paraId="0276A504">
            <w:pPr>
              <w:spacing w:line="276" w:lineRule="auto"/>
              <w:jc w:val="center"/>
            </w:pPr>
            <w:r>
              <w:rPr>
                <w:rFonts w:ascii="黑体" w:hAnsi="黑体" w:eastAsia="黑体"/>
                <w:b w:val="0"/>
                <w:sz w:val="21"/>
              </w:rPr>
              <w:t>响应/偏离</w:t>
            </w:r>
          </w:p>
        </w:tc>
        <w:tc>
          <w:tcPr>
            <w:tcW w:w="1020" w:type="dxa"/>
          </w:tcPr>
          <w:p w14:paraId="77B21EDC">
            <w:pPr>
              <w:spacing w:line="276" w:lineRule="auto"/>
              <w:jc w:val="center"/>
            </w:pPr>
            <w:r>
              <w:rPr>
                <w:rFonts w:ascii="黑体" w:hAnsi="黑体" w:eastAsia="黑体"/>
                <w:b w:val="0"/>
                <w:sz w:val="21"/>
              </w:rPr>
              <w:t>佐证页码</w:t>
            </w:r>
          </w:p>
        </w:tc>
      </w:tr>
      <w:tr w14:paraId="0B89A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tcPr>
          <w:p w14:paraId="696D8A4D">
            <w:pPr>
              <w:spacing w:line="276" w:lineRule="auto"/>
              <w:jc w:val="center"/>
            </w:pPr>
            <w:r>
              <w:rPr>
                <w:rFonts w:ascii="宋体" w:hAnsi="宋体" w:eastAsia="宋体"/>
                <w:b w:val="0"/>
                <w:sz w:val="21"/>
              </w:rPr>
              <w:t>1</w:t>
            </w:r>
          </w:p>
        </w:tc>
        <w:tc>
          <w:tcPr>
            <w:tcW w:w="1361" w:type="dxa"/>
          </w:tcPr>
          <w:p w14:paraId="32C56C7A">
            <w:pPr>
              <w:spacing w:line="276" w:lineRule="auto"/>
              <w:jc w:val="left"/>
            </w:pPr>
            <w:r>
              <w:rPr>
                <w:rFonts w:ascii="宋体" w:hAnsi="宋体" w:eastAsia="宋体"/>
                <w:b w:val="0"/>
                <w:sz w:val="21"/>
              </w:rPr>
              <w:t>品牌型号</w:t>
            </w:r>
          </w:p>
        </w:tc>
        <w:tc>
          <w:tcPr>
            <w:tcW w:w="2268" w:type="dxa"/>
          </w:tcPr>
          <w:p w14:paraId="13191399">
            <w:pPr>
              <w:spacing w:line="276" w:lineRule="auto"/>
              <w:jc w:val="left"/>
            </w:pPr>
            <w:r>
              <w:rPr>
                <w:rFonts w:ascii="宋体" w:hAnsi="宋体" w:eastAsia="宋体"/>
                <w:b w:val="0"/>
                <w:sz w:val="21"/>
              </w:rPr>
              <w:t>（供应商自行填报）</w:t>
            </w:r>
          </w:p>
        </w:tc>
        <w:tc>
          <w:tcPr>
            <w:tcW w:w="1701" w:type="dxa"/>
          </w:tcPr>
          <w:p w14:paraId="02BA24EC">
            <w:pPr>
              <w:spacing w:line="276" w:lineRule="auto"/>
              <w:jc w:val="left"/>
            </w:pPr>
          </w:p>
        </w:tc>
        <w:tc>
          <w:tcPr>
            <w:tcW w:w="1134" w:type="dxa"/>
          </w:tcPr>
          <w:p w14:paraId="774D1D48">
            <w:pPr>
              <w:spacing w:line="276" w:lineRule="auto"/>
              <w:jc w:val="left"/>
            </w:pPr>
          </w:p>
        </w:tc>
        <w:tc>
          <w:tcPr>
            <w:tcW w:w="1020" w:type="dxa"/>
          </w:tcPr>
          <w:p w14:paraId="2EF7261F">
            <w:pPr>
              <w:spacing w:line="276" w:lineRule="auto"/>
              <w:jc w:val="left"/>
            </w:pPr>
          </w:p>
        </w:tc>
      </w:tr>
      <w:tr w14:paraId="35C7A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tcPr>
          <w:p w14:paraId="709DB33E">
            <w:pPr>
              <w:spacing w:line="276" w:lineRule="auto"/>
              <w:jc w:val="center"/>
            </w:pPr>
            <w:r>
              <w:rPr>
                <w:rFonts w:ascii="宋体" w:hAnsi="宋体" w:eastAsia="宋体"/>
                <w:b w:val="0"/>
                <w:sz w:val="21"/>
              </w:rPr>
              <w:t>2</w:t>
            </w:r>
          </w:p>
        </w:tc>
        <w:tc>
          <w:tcPr>
            <w:tcW w:w="1361" w:type="dxa"/>
          </w:tcPr>
          <w:p w14:paraId="3D46585F">
            <w:pPr>
              <w:spacing w:line="276" w:lineRule="auto"/>
              <w:jc w:val="left"/>
            </w:pPr>
            <w:r>
              <w:rPr>
                <w:rFonts w:ascii="宋体" w:hAnsi="宋体" w:eastAsia="宋体"/>
                <w:b w:val="0"/>
                <w:sz w:val="21"/>
              </w:rPr>
              <w:t>最大载重</w:t>
            </w:r>
          </w:p>
        </w:tc>
        <w:tc>
          <w:tcPr>
            <w:tcW w:w="2268" w:type="dxa"/>
          </w:tcPr>
          <w:p w14:paraId="44DB12BB">
            <w:pPr>
              <w:spacing w:line="276" w:lineRule="auto"/>
              <w:jc w:val="left"/>
            </w:pPr>
            <w:r>
              <w:rPr>
                <w:rFonts w:ascii="宋体" w:hAnsi="宋体" w:eastAsia="宋体"/>
                <w:b w:val="0"/>
                <w:sz w:val="21"/>
              </w:rPr>
              <w:t>≥</w:t>
            </w:r>
            <w:r>
              <w:rPr>
                <w:rFonts w:hint="eastAsia"/>
                <w:b w:val="0"/>
                <w:sz w:val="21"/>
                <w:lang w:val="en-US" w:eastAsia="zh-CN"/>
              </w:rPr>
              <w:t>5</w:t>
            </w:r>
            <w:r>
              <w:rPr>
                <w:rFonts w:ascii="宋体" w:hAnsi="宋体" w:eastAsia="宋体"/>
                <w:b w:val="0"/>
                <w:sz w:val="21"/>
              </w:rPr>
              <w:t>kg</w:t>
            </w:r>
          </w:p>
        </w:tc>
        <w:tc>
          <w:tcPr>
            <w:tcW w:w="1701" w:type="dxa"/>
          </w:tcPr>
          <w:p w14:paraId="48C0A393">
            <w:pPr>
              <w:spacing w:line="276" w:lineRule="auto"/>
              <w:jc w:val="left"/>
            </w:pPr>
          </w:p>
        </w:tc>
        <w:tc>
          <w:tcPr>
            <w:tcW w:w="1134" w:type="dxa"/>
          </w:tcPr>
          <w:p w14:paraId="63F1FC20">
            <w:pPr>
              <w:spacing w:line="276" w:lineRule="auto"/>
              <w:jc w:val="left"/>
            </w:pPr>
          </w:p>
        </w:tc>
        <w:tc>
          <w:tcPr>
            <w:tcW w:w="1020" w:type="dxa"/>
          </w:tcPr>
          <w:p w14:paraId="135A945F">
            <w:pPr>
              <w:spacing w:line="276" w:lineRule="auto"/>
              <w:jc w:val="left"/>
            </w:pPr>
          </w:p>
        </w:tc>
      </w:tr>
      <w:tr w14:paraId="7D651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tcPr>
          <w:p w14:paraId="6D66981B">
            <w:pPr>
              <w:spacing w:line="276" w:lineRule="auto"/>
              <w:jc w:val="center"/>
            </w:pPr>
            <w:r>
              <w:rPr>
                <w:rFonts w:ascii="宋体" w:hAnsi="宋体" w:eastAsia="宋体"/>
                <w:b w:val="0"/>
                <w:sz w:val="21"/>
              </w:rPr>
              <w:t>3</w:t>
            </w:r>
          </w:p>
        </w:tc>
        <w:tc>
          <w:tcPr>
            <w:tcW w:w="1361" w:type="dxa"/>
          </w:tcPr>
          <w:p w14:paraId="611E5F1C">
            <w:pPr>
              <w:spacing w:line="276" w:lineRule="auto"/>
              <w:jc w:val="left"/>
              <w:rPr>
                <w:rFonts w:hint="eastAsia" w:eastAsia="宋体"/>
                <w:lang w:eastAsia="zh-CN"/>
              </w:rPr>
            </w:pPr>
            <w:r>
              <w:rPr>
                <w:rFonts w:ascii="宋体" w:hAnsi="宋体" w:eastAsia="宋体"/>
                <w:b w:val="0"/>
                <w:sz w:val="21"/>
              </w:rPr>
              <w:t>最大航程</w:t>
            </w:r>
            <w:r>
              <w:rPr>
                <w:rFonts w:hint="eastAsia"/>
                <w:b w:val="0"/>
                <w:sz w:val="21"/>
                <w:lang w:eastAsia="zh-CN"/>
              </w:rPr>
              <w:t>（</w:t>
            </w:r>
            <w:r>
              <w:rPr>
                <w:rFonts w:hint="eastAsia"/>
                <w:b w:val="0"/>
                <w:sz w:val="21"/>
                <w:lang w:val="en-US" w:eastAsia="zh-CN"/>
              </w:rPr>
              <w:t>空载</w:t>
            </w:r>
            <w:r>
              <w:rPr>
                <w:rFonts w:hint="eastAsia"/>
                <w:b w:val="0"/>
                <w:sz w:val="21"/>
                <w:lang w:eastAsia="zh-CN"/>
              </w:rPr>
              <w:t>）</w:t>
            </w:r>
          </w:p>
        </w:tc>
        <w:tc>
          <w:tcPr>
            <w:tcW w:w="2268" w:type="dxa"/>
          </w:tcPr>
          <w:p w14:paraId="40B4875F">
            <w:pPr>
              <w:spacing w:line="276" w:lineRule="auto"/>
              <w:jc w:val="left"/>
            </w:pPr>
            <w:r>
              <w:rPr>
                <w:rFonts w:ascii="宋体" w:hAnsi="宋体" w:eastAsia="宋体"/>
                <w:b w:val="0"/>
                <w:sz w:val="21"/>
              </w:rPr>
              <w:t>≥2</w:t>
            </w:r>
            <w:r>
              <w:rPr>
                <w:rFonts w:hint="eastAsia"/>
                <w:b w:val="0"/>
                <w:sz w:val="21"/>
                <w:lang w:val="en-US" w:eastAsia="zh-CN"/>
              </w:rPr>
              <w:t>0</w:t>
            </w:r>
            <w:r>
              <w:rPr>
                <w:rFonts w:ascii="宋体" w:hAnsi="宋体" w:eastAsia="宋体"/>
                <w:b w:val="0"/>
                <w:sz w:val="21"/>
              </w:rPr>
              <w:t>km</w:t>
            </w:r>
          </w:p>
        </w:tc>
        <w:tc>
          <w:tcPr>
            <w:tcW w:w="1701" w:type="dxa"/>
          </w:tcPr>
          <w:p w14:paraId="7FACD2DB">
            <w:pPr>
              <w:spacing w:line="276" w:lineRule="auto"/>
              <w:jc w:val="left"/>
            </w:pPr>
          </w:p>
        </w:tc>
        <w:tc>
          <w:tcPr>
            <w:tcW w:w="1134" w:type="dxa"/>
          </w:tcPr>
          <w:p w14:paraId="2EDA5D00">
            <w:pPr>
              <w:spacing w:line="276" w:lineRule="auto"/>
              <w:jc w:val="left"/>
            </w:pPr>
          </w:p>
        </w:tc>
        <w:tc>
          <w:tcPr>
            <w:tcW w:w="1020" w:type="dxa"/>
          </w:tcPr>
          <w:p w14:paraId="081D9736">
            <w:pPr>
              <w:spacing w:line="276" w:lineRule="auto"/>
              <w:jc w:val="left"/>
            </w:pPr>
          </w:p>
        </w:tc>
      </w:tr>
      <w:tr w14:paraId="17086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tcPr>
          <w:p w14:paraId="7C802A79">
            <w:pPr>
              <w:spacing w:line="276" w:lineRule="auto"/>
              <w:jc w:val="center"/>
            </w:pPr>
            <w:r>
              <w:rPr>
                <w:rFonts w:ascii="宋体" w:hAnsi="宋体" w:eastAsia="宋体"/>
                <w:b w:val="0"/>
                <w:sz w:val="21"/>
              </w:rPr>
              <w:t>4</w:t>
            </w:r>
          </w:p>
        </w:tc>
        <w:tc>
          <w:tcPr>
            <w:tcW w:w="1361" w:type="dxa"/>
          </w:tcPr>
          <w:p w14:paraId="5902D345">
            <w:pPr>
              <w:spacing w:line="276" w:lineRule="auto"/>
              <w:jc w:val="left"/>
            </w:pPr>
            <w:r>
              <w:rPr>
                <w:rFonts w:ascii="宋体" w:hAnsi="宋体" w:eastAsia="宋体"/>
                <w:b w:val="0"/>
                <w:sz w:val="21"/>
              </w:rPr>
              <w:t>巡航速度</w:t>
            </w:r>
          </w:p>
        </w:tc>
        <w:tc>
          <w:tcPr>
            <w:tcW w:w="2268" w:type="dxa"/>
          </w:tcPr>
          <w:p w14:paraId="618B745B">
            <w:pPr>
              <w:spacing w:line="276" w:lineRule="auto"/>
              <w:jc w:val="left"/>
            </w:pPr>
            <w:r>
              <w:rPr>
                <w:rFonts w:ascii="宋体" w:hAnsi="宋体" w:eastAsia="宋体"/>
                <w:b w:val="0"/>
                <w:sz w:val="21"/>
              </w:rPr>
              <w:t>≥</w:t>
            </w:r>
            <w:r>
              <w:rPr>
                <w:rFonts w:hint="eastAsia"/>
                <w:b w:val="0"/>
                <w:sz w:val="21"/>
                <w:lang w:val="en-US" w:eastAsia="zh-CN"/>
              </w:rPr>
              <w:t>60</w:t>
            </w:r>
            <w:r>
              <w:rPr>
                <w:rFonts w:ascii="宋体" w:hAnsi="宋体" w:eastAsia="宋体"/>
                <w:b w:val="0"/>
                <w:sz w:val="21"/>
              </w:rPr>
              <w:t>km/h</w:t>
            </w:r>
          </w:p>
        </w:tc>
        <w:tc>
          <w:tcPr>
            <w:tcW w:w="1701" w:type="dxa"/>
          </w:tcPr>
          <w:p w14:paraId="7E10F5CB">
            <w:pPr>
              <w:spacing w:line="276" w:lineRule="auto"/>
              <w:jc w:val="left"/>
            </w:pPr>
          </w:p>
        </w:tc>
        <w:tc>
          <w:tcPr>
            <w:tcW w:w="1134" w:type="dxa"/>
          </w:tcPr>
          <w:p w14:paraId="03D8E269">
            <w:pPr>
              <w:spacing w:line="276" w:lineRule="auto"/>
              <w:jc w:val="left"/>
            </w:pPr>
          </w:p>
        </w:tc>
        <w:tc>
          <w:tcPr>
            <w:tcW w:w="1020" w:type="dxa"/>
          </w:tcPr>
          <w:p w14:paraId="54EA2EC8">
            <w:pPr>
              <w:spacing w:line="276" w:lineRule="auto"/>
              <w:jc w:val="left"/>
            </w:pPr>
          </w:p>
        </w:tc>
      </w:tr>
      <w:tr w14:paraId="33CC9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tcPr>
          <w:p w14:paraId="1B858183">
            <w:pPr>
              <w:spacing w:line="276" w:lineRule="auto"/>
              <w:jc w:val="center"/>
            </w:pPr>
            <w:r>
              <w:rPr>
                <w:rFonts w:ascii="宋体" w:hAnsi="宋体" w:eastAsia="宋体"/>
                <w:b w:val="0"/>
                <w:sz w:val="21"/>
              </w:rPr>
              <w:t>5</w:t>
            </w:r>
          </w:p>
        </w:tc>
        <w:tc>
          <w:tcPr>
            <w:tcW w:w="1361" w:type="dxa"/>
          </w:tcPr>
          <w:p w14:paraId="2271EDC7">
            <w:pPr>
              <w:spacing w:line="276" w:lineRule="auto"/>
              <w:jc w:val="left"/>
            </w:pPr>
            <w:r>
              <w:rPr>
                <w:rFonts w:ascii="宋体" w:hAnsi="宋体" w:eastAsia="宋体"/>
                <w:b w:val="0"/>
                <w:sz w:val="21"/>
              </w:rPr>
              <w:t>续航方式</w:t>
            </w:r>
          </w:p>
        </w:tc>
        <w:tc>
          <w:tcPr>
            <w:tcW w:w="2268" w:type="dxa"/>
          </w:tcPr>
          <w:p w14:paraId="64F7F558">
            <w:pPr>
              <w:spacing w:line="276" w:lineRule="auto"/>
              <w:jc w:val="left"/>
            </w:pPr>
            <w:r>
              <w:rPr>
                <w:rFonts w:ascii="宋体" w:hAnsi="宋体" w:eastAsia="宋体"/>
                <w:b w:val="0"/>
                <w:sz w:val="21"/>
              </w:rPr>
              <w:t>支持换电连续飞行</w:t>
            </w:r>
          </w:p>
        </w:tc>
        <w:tc>
          <w:tcPr>
            <w:tcW w:w="1701" w:type="dxa"/>
          </w:tcPr>
          <w:p w14:paraId="04917CFB">
            <w:pPr>
              <w:spacing w:line="276" w:lineRule="auto"/>
              <w:jc w:val="left"/>
            </w:pPr>
          </w:p>
        </w:tc>
        <w:tc>
          <w:tcPr>
            <w:tcW w:w="1134" w:type="dxa"/>
          </w:tcPr>
          <w:p w14:paraId="41982859">
            <w:pPr>
              <w:spacing w:line="276" w:lineRule="auto"/>
              <w:jc w:val="left"/>
            </w:pPr>
          </w:p>
        </w:tc>
        <w:tc>
          <w:tcPr>
            <w:tcW w:w="1020" w:type="dxa"/>
          </w:tcPr>
          <w:p w14:paraId="687B75F4">
            <w:pPr>
              <w:spacing w:line="276" w:lineRule="auto"/>
              <w:jc w:val="left"/>
            </w:pPr>
          </w:p>
        </w:tc>
      </w:tr>
      <w:tr w14:paraId="4C279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tcPr>
          <w:p w14:paraId="22BBB41F">
            <w:pPr>
              <w:spacing w:line="276" w:lineRule="auto"/>
              <w:jc w:val="center"/>
            </w:pPr>
            <w:r>
              <w:rPr>
                <w:rFonts w:ascii="宋体" w:hAnsi="宋体" w:eastAsia="宋体"/>
                <w:b w:val="0"/>
                <w:sz w:val="21"/>
              </w:rPr>
              <w:t>6</w:t>
            </w:r>
          </w:p>
        </w:tc>
        <w:tc>
          <w:tcPr>
            <w:tcW w:w="1361" w:type="dxa"/>
          </w:tcPr>
          <w:p w14:paraId="4D5CE867">
            <w:pPr>
              <w:spacing w:line="276" w:lineRule="auto"/>
              <w:jc w:val="left"/>
            </w:pPr>
            <w:r>
              <w:rPr>
                <w:rFonts w:ascii="宋体" w:hAnsi="宋体" w:eastAsia="宋体"/>
                <w:b w:val="0"/>
                <w:sz w:val="21"/>
              </w:rPr>
              <w:t>起降方式</w:t>
            </w:r>
          </w:p>
        </w:tc>
        <w:tc>
          <w:tcPr>
            <w:tcW w:w="2268" w:type="dxa"/>
          </w:tcPr>
          <w:p w14:paraId="155D5396">
            <w:pPr>
              <w:spacing w:line="276" w:lineRule="auto"/>
              <w:jc w:val="left"/>
            </w:pPr>
            <w:r>
              <w:rPr>
                <w:rFonts w:ascii="宋体" w:hAnsi="宋体" w:eastAsia="宋体"/>
                <w:b w:val="0"/>
                <w:sz w:val="21"/>
              </w:rPr>
              <w:t>垂直起降</w:t>
            </w:r>
          </w:p>
        </w:tc>
        <w:tc>
          <w:tcPr>
            <w:tcW w:w="1701" w:type="dxa"/>
          </w:tcPr>
          <w:p w14:paraId="195F009F">
            <w:pPr>
              <w:spacing w:line="276" w:lineRule="auto"/>
              <w:jc w:val="left"/>
            </w:pPr>
          </w:p>
        </w:tc>
        <w:tc>
          <w:tcPr>
            <w:tcW w:w="1134" w:type="dxa"/>
          </w:tcPr>
          <w:p w14:paraId="7BC9D7DD">
            <w:pPr>
              <w:spacing w:line="276" w:lineRule="auto"/>
              <w:jc w:val="left"/>
            </w:pPr>
          </w:p>
        </w:tc>
        <w:tc>
          <w:tcPr>
            <w:tcW w:w="1020" w:type="dxa"/>
          </w:tcPr>
          <w:p w14:paraId="29CA30B1">
            <w:pPr>
              <w:spacing w:line="276" w:lineRule="auto"/>
              <w:jc w:val="left"/>
            </w:pPr>
          </w:p>
        </w:tc>
      </w:tr>
      <w:tr w14:paraId="0AFF7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tcPr>
          <w:p w14:paraId="6F3D2837">
            <w:pPr>
              <w:spacing w:line="276" w:lineRule="auto"/>
              <w:jc w:val="center"/>
            </w:pPr>
            <w:r>
              <w:rPr>
                <w:rFonts w:ascii="宋体" w:hAnsi="宋体" w:eastAsia="宋体"/>
                <w:b w:val="0"/>
                <w:sz w:val="21"/>
              </w:rPr>
              <w:t>7</w:t>
            </w:r>
          </w:p>
        </w:tc>
        <w:tc>
          <w:tcPr>
            <w:tcW w:w="1361" w:type="dxa"/>
          </w:tcPr>
          <w:p w14:paraId="3B98C855">
            <w:pPr>
              <w:spacing w:line="276" w:lineRule="auto"/>
              <w:jc w:val="left"/>
            </w:pPr>
            <w:r>
              <w:rPr>
                <w:rFonts w:ascii="宋体" w:hAnsi="宋体" w:eastAsia="宋体"/>
                <w:b w:val="0"/>
                <w:sz w:val="21"/>
              </w:rPr>
              <w:t>安全设计</w:t>
            </w:r>
          </w:p>
        </w:tc>
        <w:tc>
          <w:tcPr>
            <w:tcW w:w="2268" w:type="dxa"/>
          </w:tcPr>
          <w:p w14:paraId="4AB8B906">
            <w:pPr>
              <w:spacing w:line="276" w:lineRule="auto"/>
              <w:jc w:val="left"/>
            </w:pPr>
            <w:r>
              <w:rPr>
                <w:rFonts w:ascii="宋体" w:hAnsi="宋体" w:eastAsia="宋体"/>
                <w:b w:val="0"/>
                <w:sz w:val="21"/>
              </w:rPr>
              <w:t>飞控/导航/动力/通信多冗余</w:t>
            </w:r>
          </w:p>
        </w:tc>
        <w:tc>
          <w:tcPr>
            <w:tcW w:w="1701" w:type="dxa"/>
          </w:tcPr>
          <w:p w14:paraId="1D717727">
            <w:pPr>
              <w:spacing w:line="276" w:lineRule="auto"/>
              <w:jc w:val="left"/>
            </w:pPr>
          </w:p>
        </w:tc>
        <w:tc>
          <w:tcPr>
            <w:tcW w:w="1134" w:type="dxa"/>
          </w:tcPr>
          <w:p w14:paraId="5370C01E">
            <w:pPr>
              <w:spacing w:line="276" w:lineRule="auto"/>
              <w:jc w:val="left"/>
            </w:pPr>
          </w:p>
        </w:tc>
        <w:tc>
          <w:tcPr>
            <w:tcW w:w="1020" w:type="dxa"/>
          </w:tcPr>
          <w:p w14:paraId="6364F0B0">
            <w:pPr>
              <w:spacing w:line="276" w:lineRule="auto"/>
              <w:jc w:val="left"/>
            </w:pPr>
          </w:p>
        </w:tc>
      </w:tr>
      <w:tr w14:paraId="1491E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tcPr>
          <w:p w14:paraId="33B0DCBF">
            <w:pPr>
              <w:spacing w:line="276" w:lineRule="auto"/>
              <w:jc w:val="center"/>
            </w:pPr>
            <w:r>
              <w:rPr>
                <w:rFonts w:ascii="宋体" w:hAnsi="宋体" w:eastAsia="宋体"/>
                <w:b w:val="0"/>
                <w:sz w:val="21"/>
              </w:rPr>
              <w:t>8</w:t>
            </w:r>
          </w:p>
        </w:tc>
        <w:tc>
          <w:tcPr>
            <w:tcW w:w="1361" w:type="dxa"/>
          </w:tcPr>
          <w:p w14:paraId="1261509A">
            <w:pPr>
              <w:spacing w:line="276" w:lineRule="auto"/>
              <w:jc w:val="left"/>
            </w:pPr>
            <w:r>
              <w:rPr>
                <w:rFonts w:ascii="宋体" w:hAnsi="宋体" w:eastAsia="宋体"/>
                <w:b w:val="0"/>
                <w:sz w:val="21"/>
              </w:rPr>
              <w:t>飞行能力</w:t>
            </w:r>
          </w:p>
        </w:tc>
        <w:tc>
          <w:tcPr>
            <w:tcW w:w="2268" w:type="dxa"/>
          </w:tcPr>
          <w:p w14:paraId="1BB026C3">
            <w:pPr>
              <w:spacing w:line="276" w:lineRule="auto"/>
              <w:jc w:val="left"/>
            </w:pPr>
            <w:r>
              <w:rPr>
                <w:rFonts w:ascii="宋体" w:hAnsi="宋体" w:eastAsia="宋体"/>
                <w:b w:val="0"/>
                <w:sz w:val="21"/>
              </w:rPr>
              <w:t>全程自主飞行</w:t>
            </w:r>
          </w:p>
        </w:tc>
        <w:tc>
          <w:tcPr>
            <w:tcW w:w="1701" w:type="dxa"/>
          </w:tcPr>
          <w:p w14:paraId="2E9D69D2">
            <w:pPr>
              <w:spacing w:line="276" w:lineRule="auto"/>
              <w:jc w:val="left"/>
            </w:pPr>
          </w:p>
        </w:tc>
        <w:tc>
          <w:tcPr>
            <w:tcW w:w="1134" w:type="dxa"/>
          </w:tcPr>
          <w:p w14:paraId="20C719B9">
            <w:pPr>
              <w:spacing w:line="276" w:lineRule="auto"/>
              <w:jc w:val="left"/>
            </w:pPr>
          </w:p>
        </w:tc>
        <w:tc>
          <w:tcPr>
            <w:tcW w:w="1020" w:type="dxa"/>
          </w:tcPr>
          <w:p w14:paraId="6B3FBA28">
            <w:pPr>
              <w:spacing w:line="276" w:lineRule="auto"/>
              <w:jc w:val="left"/>
            </w:pPr>
          </w:p>
        </w:tc>
      </w:tr>
      <w:tr w14:paraId="5D6A4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tcPr>
          <w:p w14:paraId="72EF8F67">
            <w:pPr>
              <w:spacing w:line="276" w:lineRule="auto"/>
              <w:jc w:val="center"/>
            </w:pPr>
            <w:r>
              <w:rPr>
                <w:rFonts w:ascii="宋体" w:hAnsi="宋体" w:eastAsia="宋体"/>
                <w:b w:val="0"/>
                <w:sz w:val="21"/>
              </w:rPr>
              <w:t>9</w:t>
            </w:r>
          </w:p>
        </w:tc>
        <w:tc>
          <w:tcPr>
            <w:tcW w:w="1361" w:type="dxa"/>
          </w:tcPr>
          <w:p w14:paraId="4C3972E4">
            <w:pPr>
              <w:spacing w:line="276" w:lineRule="auto"/>
              <w:jc w:val="left"/>
            </w:pPr>
            <w:r>
              <w:rPr>
                <w:rFonts w:ascii="宋体" w:hAnsi="宋体" w:eastAsia="宋体"/>
                <w:b w:val="0"/>
                <w:sz w:val="21"/>
              </w:rPr>
              <w:t>温控能力</w:t>
            </w:r>
          </w:p>
        </w:tc>
        <w:tc>
          <w:tcPr>
            <w:tcW w:w="2268" w:type="dxa"/>
          </w:tcPr>
          <w:p w14:paraId="4B453AA7">
            <w:pPr>
              <w:spacing w:line="276" w:lineRule="auto"/>
              <w:jc w:val="left"/>
            </w:pPr>
            <w:r>
              <w:rPr>
                <w:rFonts w:ascii="宋体" w:hAnsi="宋体" w:eastAsia="宋体"/>
                <w:b w:val="0"/>
                <w:sz w:val="21"/>
              </w:rPr>
              <w:t>冷链保温货舱，2℃～8℃可控</w:t>
            </w:r>
          </w:p>
        </w:tc>
        <w:tc>
          <w:tcPr>
            <w:tcW w:w="1701" w:type="dxa"/>
          </w:tcPr>
          <w:p w14:paraId="2A23383D">
            <w:pPr>
              <w:spacing w:line="276" w:lineRule="auto"/>
              <w:jc w:val="left"/>
            </w:pPr>
          </w:p>
        </w:tc>
        <w:tc>
          <w:tcPr>
            <w:tcW w:w="1134" w:type="dxa"/>
          </w:tcPr>
          <w:p w14:paraId="50D825DE">
            <w:pPr>
              <w:spacing w:line="276" w:lineRule="auto"/>
              <w:jc w:val="left"/>
            </w:pPr>
          </w:p>
        </w:tc>
        <w:tc>
          <w:tcPr>
            <w:tcW w:w="1020" w:type="dxa"/>
          </w:tcPr>
          <w:p w14:paraId="10CC73BA">
            <w:pPr>
              <w:spacing w:line="276" w:lineRule="auto"/>
              <w:jc w:val="left"/>
            </w:pPr>
          </w:p>
        </w:tc>
      </w:tr>
      <w:tr w14:paraId="6F487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80" w:type="dxa"/>
          </w:tcPr>
          <w:p w14:paraId="490BA667">
            <w:pPr>
              <w:spacing w:line="276" w:lineRule="auto"/>
              <w:jc w:val="center"/>
            </w:pPr>
            <w:r>
              <w:rPr>
                <w:rFonts w:ascii="宋体" w:hAnsi="宋体" w:eastAsia="宋体"/>
                <w:b w:val="0"/>
                <w:sz w:val="21"/>
              </w:rPr>
              <w:t>10</w:t>
            </w:r>
          </w:p>
        </w:tc>
        <w:tc>
          <w:tcPr>
            <w:tcW w:w="1361" w:type="dxa"/>
          </w:tcPr>
          <w:p w14:paraId="3D0BE742">
            <w:pPr>
              <w:spacing w:line="276" w:lineRule="auto"/>
              <w:jc w:val="left"/>
            </w:pPr>
            <w:r>
              <w:rPr>
                <w:rFonts w:ascii="宋体" w:hAnsi="宋体" w:eastAsia="宋体"/>
                <w:b w:val="0"/>
                <w:sz w:val="21"/>
              </w:rPr>
              <w:t>夜航能力</w:t>
            </w:r>
          </w:p>
        </w:tc>
        <w:tc>
          <w:tcPr>
            <w:tcW w:w="2268" w:type="dxa"/>
          </w:tcPr>
          <w:p w14:paraId="589412F6">
            <w:pPr>
              <w:spacing w:line="276" w:lineRule="auto"/>
              <w:jc w:val="left"/>
            </w:pPr>
            <w:r>
              <w:rPr>
                <w:rFonts w:ascii="宋体" w:hAnsi="宋体" w:eastAsia="宋体"/>
                <w:b w:val="0"/>
                <w:sz w:val="21"/>
              </w:rPr>
              <w:t>具备夜间飞行能力</w:t>
            </w:r>
          </w:p>
        </w:tc>
        <w:tc>
          <w:tcPr>
            <w:tcW w:w="1701" w:type="dxa"/>
          </w:tcPr>
          <w:p w14:paraId="778A0694">
            <w:pPr>
              <w:spacing w:line="276" w:lineRule="auto"/>
              <w:jc w:val="left"/>
            </w:pPr>
          </w:p>
        </w:tc>
        <w:tc>
          <w:tcPr>
            <w:tcW w:w="1134" w:type="dxa"/>
          </w:tcPr>
          <w:p w14:paraId="4F558D57">
            <w:pPr>
              <w:spacing w:line="276" w:lineRule="auto"/>
              <w:jc w:val="left"/>
            </w:pPr>
          </w:p>
        </w:tc>
        <w:tc>
          <w:tcPr>
            <w:tcW w:w="1020" w:type="dxa"/>
          </w:tcPr>
          <w:p w14:paraId="57B38E8C">
            <w:pPr>
              <w:spacing w:line="276" w:lineRule="auto"/>
              <w:jc w:val="left"/>
            </w:pPr>
          </w:p>
        </w:tc>
      </w:tr>
      <w:tr w14:paraId="19CB9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tcPr>
          <w:p w14:paraId="6650BE97">
            <w:pPr>
              <w:spacing w:line="276" w:lineRule="auto"/>
              <w:jc w:val="center"/>
            </w:pPr>
            <w:r>
              <w:rPr>
                <w:rFonts w:ascii="宋体" w:hAnsi="宋体" w:eastAsia="宋体"/>
                <w:b w:val="0"/>
                <w:sz w:val="21"/>
              </w:rPr>
              <w:t>11</w:t>
            </w:r>
          </w:p>
        </w:tc>
        <w:tc>
          <w:tcPr>
            <w:tcW w:w="1361" w:type="dxa"/>
          </w:tcPr>
          <w:p w14:paraId="19D2FF5F">
            <w:pPr>
              <w:spacing w:line="276" w:lineRule="auto"/>
              <w:jc w:val="left"/>
            </w:pPr>
            <w:r>
              <w:rPr>
                <w:rFonts w:ascii="宋体" w:hAnsi="宋体" w:eastAsia="宋体"/>
                <w:b w:val="0"/>
                <w:sz w:val="21"/>
              </w:rPr>
              <w:t>数据回传</w:t>
            </w:r>
          </w:p>
        </w:tc>
        <w:tc>
          <w:tcPr>
            <w:tcW w:w="2268" w:type="dxa"/>
          </w:tcPr>
          <w:p w14:paraId="1EE3C709">
            <w:pPr>
              <w:spacing w:line="276" w:lineRule="auto"/>
              <w:jc w:val="left"/>
            </w:pPr>
            <w:r>
              <w:rPr>
                <w:rFonts w:ascii="宋体" w:hAnsi="宋体" w:eastAsia="宋体"/>
                <w:b w:val="0"/>
                <w:sz w:val="21"/>
              </w:rPr>
              <w:t>状态/位置/温度/电量实时回传</w:t>
            </w:r>
          </w:p>
        </w:tc>
        <w:tc>
          <w:tcPr>
            <w:tcW w:w="1701" w:type="dxa"/>
          </w:tcPr>
          <w:p w14:paraId="038D0581">
            <w:pPr>
              <w:spacing w:line="276" w:lineRule="auto"/>
              <w:jc w:val="left"/>
            </w:pPr>
          </w:p>
        </w:tc>
        <w:tc>
          <w:tcPr>
            <w:tcW w:w="1134" w:type="dxa"/>
          </w:tcPr>
          <w:p w14:paraId="4F8A6F8D">
            <w:pPr>
              <w:spacing w:line="276" w:lineRule="auto"/>
              <w:jc w:val="left"/>
            </w:pPr>
          </w:p>
        </w:tc>
        <w:tc>
          <w:tcPr>
            <w:tcW w:w="1020" w:type="dxa"/>
          </w:tcPr>
          <w:p w14:paraId="3EDCEBD9">
            <w:pPr>
              <w:spacing w:line="276" w:lineRule="auto"/>
              <w:jc w:val="left"/>
            </w:pPr>
          </w:p>
        </w:tc>
      </w:tr>
      <w:tr w14:paraId="1866A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tcPr>
          <w:p w14:paraId="238D5974">
            <w:pPr>
              <w:spacing w:line="276" w:lineRule="auto"/>
              <w:jc w:val="center"/>
            </w:pPr>
            <w:r>
              <w:rPr>
                <w:rFonts w:ascii="宋体" w:hAnsi="宋体" w:eastAsia="宋体"/>
                <w:b w:val="0"/>
                <w:sz w:val="21"/>
              </w:rPr>
              <w:t>12</w:t>
            </w:r>
          </w:p>
        </w:tc>
        <w:tc>
          <w:tcPr>
            <w:tcW w:w="1361" w:type="dxa"/>
          </w:tcPr>
          <w:p w14:paraId="4A665C8B">
            <w:pPr>
              <w:spacing w:line="276" w:lineRule="auto"/>
              <w:jc w:val="left"/>
            </w:pPr>
            <w:r>
              <w:rPr>
                <w:rFonts w:ascii="宋体" w:hAnsi="宋体" w:eastAsia="宋体"/>
                <w:b w:val="0"/>
                <w:sz w:val="21"/>
              </w:rPr>
              <w:t>投入数量</w:t>
            </w:r>
          </w:p>
        </w:tc>
        <w:tc>
          <w:tcPr>
            <w:tcW w:w="2268" w:type="dxa"/>
          </w:tcPr>
          <w:p w14:paraId="5109533F">
            <w:pPr>
              <w:spacing w:line="276" w:lineRule="auto"/>
              <w:jc w:val="left"/>
            </w:pPr>
            <w:r>
              <w:rPr>
                <w:rFonts w:ascii="宋体" w:hAnsi="宋体" w:eastAsia="宋体"/>
                <w:b w:val="0"/>
                <w:sz w:val="21"/>
              </w:rPr>
              <w:t>常态化运营≥</w:t>
            </w:r>
            <w:r>
              <w:rPr>
                <w:rFonts w:hint="eastAsia"/>
                <w:b w:val="0"/>
                <w:sz w:val="21"/>
                <w:lang w:val="en-US" w:eastAsia="zh-CN"/>
              </w:rPr>
              <w:t>2</w:t>
            </w:r>
            <w:r>
              <w:rPr>
                <w:rFonts w:ascii="宋体" w:hAnsi="宋体" w:eastAsia="宋体"/>
                <w:b w:val="0"/>
                <w:sz w:val="21"/>
              </w:rPr>
              <w:t>架（含备份机≥1架）</w:t>
            </w:r>
          </w:p>
        </w:tc>
        <w:tc>
          <w:tcPr>
            <w:tcW w:w="1701" w:type="dxa"/>
          </w:tcPr>
          <w:p w14:paraId="6A6DE89F">
            <w:pPr>
              <w:spacing w:line="276" w:lineRule="auto"/>
              <w:jc w:val="left"/>
            </w:pPr>
          </w:p>
        </w:tc>
        <w:tc>
          <w:tcPr>
            <w:tcW w:w="1134" w:type="dxa"/>
          </w:tcPr>
          <w:p w14:paraId="05445034">
            <w:pPr>
              <w:spacing w:line="276" w:lineRule="auto"/>
              <w:jc w:val="left"/>
            </w:pPr>
          </w:p>
        </w:tc>
        <w:tc>
          <w:tcPr>
            <w:tcW w:w="1020" w:type="dxa"/>
          </w:tcPr>
          <w:p w14:paraId="4AFD45EC">
            <w:pPr>
              <w:spacing w:line="276" w:lineRule="auto"/>
              <w:jc w:val="left"/>
            </w:pPr>
          </w:p>
        </w:tc>
      </w:tr>
    </w:tbl>
    <w:p w14:paraId="078B2C97">
      <w:pPr>
        <w:spacing w:before="0" w:after="0" w:line="360" w:lineRule="auto"/>
        <w:ind w:firstLine="480"/>
        <w:jc w:val="left"/>
      </w:pPr>
    </w:p>
    <w:p w14:paraId="4B4F1489">
      <w:pPr>
        <w:spacing w:before="0" w:after="0" w:line="360" w:lineRule="auto"/>
        <w:ind w:firstLine="480"/>
        <w:jc w:val="left"/>
      </w:pPr>
      <w:r>
        <w:rPr>
          <w:rFonts w:ascii="宋体" w:hAnsi="宋体" w:eastAsia="宋体"/>
          <w:b w:val="0"/>
          <w:sz w:val="24"/>
        </w:rPr>
        <w:t>注：本表须逐项填报响应值并注明佐证材料所在页码，未填报、填报“同需求”或无佐证的，评审时不予认可。</w:t>
      </w:r>
    </w:p>
    <w:p w14:paraId="6D37D7C7">
      <w:pPr>
        <w:spacing w:before="0" w:after="0" w:line="360" w:lineRule="auto"/>
        <w:ind w:firstLine="480"/>
        <w:jc w:val="left"/>
      </w:pPr>
      <w:r>
        <w:rPr>
          <w:rFonts w:ascii="宋体" w:hAnsi="宋体" w:eastAsia="宋体"/>
          <w:b w:val="0"/>
          <w:sz w:val="24"/>
        </w:rPr>
        <w:t>供应商（盖章）：____________    日期：____年__月__日</w:t>
      </w:r>
    </w:p>
    <w:sectPr>
      <w:pgSz w:w="11906" w:h="16838"/>
      <w:pgMar w:top="1417" w:right="1474" w:bottom="1417" w:left="1701"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方正小标宋简体">
    <w:altName w:val="黑体"/>
    <w:panose1 w:val="00000000000000000000"/>
    <w:charset w:val="00"/>
    <w:family w:val="auto"/>
    <w:pitch w:val="default"/>
    <w:sig w:usb0="00000000" w:usb1="00000000" w:usb2="00000000" w:usb3="00000000" w:csb0="00000000"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0AF6CC8"/>
    <w:rsid w:val="2428720F"/>
    <w:rsid w:val="3E9B22EB"/>
    <w:rsid w:val="42310E70"/>
    <w:rsid w:val="447275EF"/>
    <w:rsid w:val="66814FB2"/>
    <w:rsid w:val="7785498C"/>
    <w:rsid w:val="78C31B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qFormat="1"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360" w:lineRule="auto"/>
    </w:pPr>
    <w:rPr>
      <w:rFonts w:ascii="宋体" w:hAnsi="宋体" w:eastAsia="宋体" w:cstheme="minorBidi"/>
      <w:sz w:val="24"/>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747</Words>
  <Characters>761</Characters>
  <Lines>0</Lines>
  <Paragraphs>0</Paragraphs>
  <TotalTime>13</TotalTime>
  <ScaleCrop>false</ScaleCrop>
  <LinksUpToDate>false</LinksUpToDate>
  <CharactersWithSpaces>772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喜洋洋</cp:lastModifiedBy>
  <dcterms:modified xsi:type="dcterms:W3CDTF">2026-10-27T01:03:17Z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eyJoZGlkIjoiYzEwYzZlMmY3ZjdjNmViNTViZmM1MmE5Y2MzOGZlOGYiLCJ1c2VySWQiOiIzNDcwNDI3MDkifQ==</vt:lpwstr>
  </property>
  <property fmtid="{D5CDD505-2E9C-101B-9397-08002B2CF9AE}" pid="3" name="KSOProductBuildVer">
    <vt:lpwstr>2052-12.1.0.29161</vt:lpwstr>
  </property>
  <property fmtid="{D5CDD505-2E9C-101B-9397-08002B2CF9AE}" pid="4" name="ICV">
    <vt:lpwstr>086B6EA5F9F9495AAD1C59C8A0FA9FF3_12</vt:lpwstr>
  </property>
</Properties>
</file>